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FORMATO N°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7B7B44" w:rsidRPr="007B7B44" w14:paraId="68950F46" w14:textId="77777777" w:rsidTr="00501759">
        <w:trPr>
          <w:trHeight w:val="401"/>
        </w:trPr>
        <w:tc>
          <w:tcPr>
            <w:tcW w:w="1413" w:type="dxa"/>
            <w:vAlign w:val="center"/>
          </w:tcPr>
          <w:p w14:paraId="5382E33E" w14:textId="473C8DEA" w:rsidR="00DE2D8A" w:rsidRPr="007B7B44" w:rsidRDefault="00DE2D8A" w:rsidP="009F6EE7">
            <w:pPr>
              <w:rPr>
                <w:rFonts w:ascii="Arial" w:hAnsi="Arial" w:cs="Arial"/>
                <w:b/>
                <w:bCs/>
                <w:sz w:val="16"/>
                <w:szCs w:val="16"/>
              </w:rPr>
            </w:pPr>
            <w:r w:rsidRPr="007B7B44">
              <w:rPr>
                <w:rFonts w:ascii="Arial" w:hAnsi="Arial" w:cs="Arial"/>
                <w:b/>
                <w:bCs/>
                <w:sz w:val="16"/>
                <w:szCs w:val="16"/>
              </w:rPr>
              <w:t>Sector Responsable</w:t>
            </w:r>
          </w:p>
        </w:tc>
        <w:tc>
          <w:tcPr>
            <w:tcW w:w="566" w:type="dxa"/>
            <w:shd w:val="clear" w:color="auto" w:fill="auto"/>
            <w:vAlign w:val="center"/>
          </w:tcPr>
          <w:p w14:paraId="4CE4646E" w14:textId="08D5E48F" w:rsidR="00DE2D8A" w:rsidRPr="007B7B44" w:rsidRDefault="00E5234F" w:rsidP="00FA37E3">
            <w:pPr>
              <w:jc w:val="center"/>
              <w:rPr>
                <w:rFonts w:ascii="Arial" w:hAnsi="Arial" w:cs="Arial"/>
                <w:sz w:val="16"/>
                <w:szCs w:val="16"/>
              </w:rPr>
            </w:pPr>
            <w:r w:rsidRPr="007B7B44">
              <w:rPr>
                <w:rFonts w:ascii="Arial" w:hAnsi="Arial" w:cs="Arial"/>
                <w:sz w:val="16"/>
                <w:szCs w:val="16"/>
              </w:rPr>
              <w:t>10</w:t>
            </w:r>
          </w:p>
        </w:tc>
        <w:tc>
          <w:tcPr>
            <w:tcW w:w="7514" w:type="dxa"/>
            <w:shd w:val="clear" w:color="auto" w:fill="auto"/>
            <w:vAlign w:val="center"/>
          </w:tcPr>
          <w:p w14:paraId="70EDA9B9" w14:textId="64292507" w:rsidR="00DE2D8A" w:rsidRPr="007B7B44" w:rsidRDefault="00442BBE">
            <w:pPr>
              <w:rPr>
                <w:rFonts w:ascii="Arial" w:hAnsi="Arial" w:cs="Arial"/>
                <w:sz w:val="16"/>
                <w:szCs w:val="16"/>
              </w:rPr>
            </w:pPr>
            <w:r w:rsidRPr="007B7B44">
              <w:rPr>
                <w:rFonts w:ascii="Arial" w:hAnsi="Arial" w:cs="Arial"/>
                <w:sz w:val="16"/>
                <w:szCs w:val="16"/>
              </w:rPr>
              <w:t>Educación</w:t>
            </w:r>
          </w:p>
        </w:tc>
      </w:tr>
      <w:tr w:rsidR="007B7B44" w:rsidRPr="007B7B44" w14:paraId="6C0C447A" w14:textId="77777777" w:rsidTr="00501759">
        <w:trPr>
          <w:trHeight w:val="423"/>
        </w:trPr>
        <w:tc>
          <w:tcPr>
            <w:tcW w:w="1413" w:type="dxa"/>
            <w:vAlign w:val="center"/>
          </w:tcPr>
          <w:p w14:paraId="3977CE04" w14:textId="72468A0B" w:rsidR="00DE2D8A" w:rsidRPr="007B7B44" w:rsidRDefault="00B4744E" w:rsidP="009F6EE7">
            <w:pPr>
              <w:rPr>
                <w:rFonts w:ascii="Arial" w:hAnsi="Arial" w:cs="Arial"/>
                <w:b/>
                <w:bCs/>
                <w:sz w:val="16"/>
                <w:szCs w:val="16"/>
              </w:rPr>
            </w:pPr>
            <w:r w:rsidRPr="007B7B44">
              <w:rPr>
                <w:rFonts w:ascii="Arial" w:hAnsi="Arial" w:cs="Arial"/>
                <w:b/>
                <w:bCs/>
                <w:sz w:val="16"/>
                <w:szCs w:val="16"/>
              </w:rPr>
              <w:t xml:space="preserve">Nombre del Indicador </w:t>
            </w:r>
          </w:p>
        </w:tc>
        <w:tc>
          <w:tcPr>
            <w:tcW w:w="566" w:type="dxa"/>
            <w:shd w:val="clear" w:color="auto" w:fill="auto"/>
            <w:vAlign w:val="center"/>
          </w:tcPr>
          <w:p w14:paraId="3172FC95" w14:textId="658684B2" w:rsidR="00DE2D8A" w:rsidRPr="007B7B44" w:rsidRDefault="00A60B21" w:rsidP="00FA37E3">
            <w:pPr>
              <w:jc w:val="center"/>
              <w:rPr>
                <w:rFonts w:ascii="Arial" w:hAnsi="Arial" w:cs="Arial"/>
                <w:sz w:val="16"/>
                <w:szCs w:val="16"/>
              </w:rPr>
            </w:pPr>
            <w:r>
              <w:rPr>
                <w:rFonts w:ascii="Arial" w:hAnsi="Arial" w:cs="Arial"/>
                <w:sz w:val="16"/>
                <w:szCs w:val="16"/>
              </w:rPr>
              <w:t>637</w:t>
            </w:r>
          </w:p>
        </w:tc>
        <w:tc>
          <w:tcPr>
            <w:tcW w:w="7514" w:type="dxa"/>
            <w:shd w:val="clear" w:color="auto" w:fill="auto"/>
            <w:vAlign w:val="center"/>
          </w:tcPr>
          <w:p w14:paraId="2350C117" w14:textId="1E6B355B" w:rsidR="00DE2D8A" w:rsidRPr="007B7B44" w:rsidRDefault="007B7B44">
            <w:pPr>
              <w:rPr>
                <w:rFonts w:ascii="Arial" w:hAnsi="Arial" w:cs="Arial"/>
                <w:sz w:val="16"/>
                <w:szCs w:val="16"/>
              </w:rPr>
            </w:pPr>
            <w:r w:rsidRPr="007B7B44">
              <w:rPr>
                <w:rFonts w:ascii="Arial" w:hAnsi="Arial" w:cs="Arial"/>
                <w:sz w:val="16"/>
                <w:szCs w:val="16"/>
              </w:rPr>
              <w:t xml:space="preserve">Porcentaje de </w:t>
            </w:r>
            <w:r w:rsidR="00C32F60">
              <w:rPr>
                <w:rFonts w:ascii="Arial" w:hAnsi="Arial" w:cs="Arial"/>
                <w:sz w:val="16"/>
                <w:szCs w:val="16"/>
              </w:rPr>
              <w:t xml:space="preserve">escuelas profesionales </w:t>
            </w:r>
            <w:r w:rsidR="003C707C">
              <w:rPr>
                <w:rFonts w:ascii="Arial" w:hAnsi="Arial" w:cs="Arial"/>
                <w:sz w:val="16"/>
                <w:szCs w:val="16"/>
              </w:rPr>
              <w:t>en las universidades públicas</w:t>
            </w:r>
            <w:r w:rsidR="00C32F60">
              <w:rPr>
                <w:rFonts w:ascii="Arial" w:hAnsi="Arial" w:cs="Arial"/>
                <w:sz w:val="16"/>
                <w:szCs w:val="16"/>
              </w:rPr>
              <w:t xml:space="preserve"> por implementar</w:t>
            </w:r>
          </w:p>
        </w:tc>
      </w:tr>
      <w:tr w:rsidR="007B7B44" w:rsidRPr="007B7B44" w14:paraId="11A718E3" w14:textId="77777777" w:rsidTr="00501759">
        <w:trPr>
          <w:trHeight w:val="448"/>
        </w:trPr>
        <w:tc>
          <w:tcPr>
            <w:tcW w:w="1413" w:type="dxa"/>
            <w:vAlign w:val="center"/>
          </w:tcPr>
          <w:p w14:paraId="57EC8604" w14:textId="7E21759A" w:rsidR="00FA37E3" w:rsidRPr="007B7B44" w:rsidRDefault="00FA37E3" w:rsidP="009F6EE7">
            <w:pPr>
              <w:rPr>
                <w:rFonts w:ascii="Arial" w:hAnsi="Arial" w:cs="Arial"/>
                <w:sz w:val="16"/>
                <w:szCs w:val="16"/>
              </w:rPr>
            </w:pPr>
            <w:r w:rsidRPr="007B7B44">
              <w:rPr>
                <w:rFonts w:ascii="Arial" w:hAnsi="Arial" w:cs="Arial"/>
                <w:b/>
                <w:bCs/>
                <w:sz w:val="16"/>
                <w:szCs w:val="16"/>
              </w:rPr>
              <w:t>Tipo de Indicador</w:t>
            </w:r>
          </w:p>
        </w:tc>
        <w:tc>
          <w:tcPr>
            <w:tcW w:w="8080" w:type="dxa"/>
            <w:gridSpan w:val="2"/>
            <w:shd w:val="clear" w:color="auto" w:fill="auto"/>
            <w:vAlign w:val="center"/>
          </w:tcPr>
          <w:p w14:paraId="6994EF24" w14:textId="00173C7F" w:rsidR="00FA37E3" w:rsidRPr="007B7B44" w:rsidRDefault="00044F26">
            <w:pPr>
              <w:rPr>
                <w:rFonts w:ascii="Arial" w:hAnsi="Arial" w:cs="Arial"/>
                <w:sz w:val="16"/>
                <w:szCs w:val="16"/>
              </w:rPr>
            </w:pPr>
            <w:r w:rsidRPr="007B7B44">
              <w:rPr>
                <w:rFonts w:ascii="Arial" w:hAnsi="Arial" w:cs="Arial"/>
                <w:sz w:val="16"/>
                <w:szCs w:val="16"/>
              </w:rPr>
              <w:t>Cobertura</w:t>
            </w:r>
          </w:p>
        </w:tc>
      </w:tr>
      <w:tr w:rsidR="007B7B44" w:rsidRPr="007B7B44" w14:paraId="0C106DDE" w14:textId="77777777" w:rsidTr="00501759">
        <w:trPr>
          <w:trHeight w:val="430"/>
        </w:trPr>
        <w:tc>
          <w:tcPr>
            <w:tcW w:w="1413" w:type="dxa"/>
            <w:vAlign w:val="center"/>
          </w:tcPr>
          <w:p w14:paraId="52728A04" w14:textId="6694EFAD" w:rsidR="007B7B44" w:rsidRPr="007B7B44" w:rsidRDefault="007B7B44" w:rsidP="007B7B44">
            <w:pPr>
              <w:rPr>
                <w:rFonts w:ascii="Arial" w:hAnsi="Arial" w:cs="Arial"/>
                <w:sz w:val="16"/>
                <w:szCs w:val="16"/>
              </w:rPr>
            </w:pPr>
            <w:r w:rsidRPr="007B7B44">
              <w:rPr>
                <w:rFonts w:ascii="Arial" w:hAnsi="Arial" w:cs="Arial"/>
                <w:b/>
                <w:bCs/>
                <w:sz w:val="16"/>
                <w:szCs w:val="16"/>
              </w:rPr>
              <w:t>Unidad de Medida</w:t>
            </w:r>
          </w:p>
        </w:tc>
        <w:tc>
          <w:tcPr>
            <w:tcW w:w="566" w:type="dxa"/>
            <w:shd w:val="clear" w:color="auto" w:fill="auto"/>
            <w:vAlign w:val="center"/>
          </w:tcPr>
          <w:p w14:paraId="2FDA500C" w14:textId="74489539" w:rsidR="007B7B44" w:rsidRPr="007B7B44" w:rsidRDefault="006D12A9" w:rsidP="007B7B44">
            <w:pPr>
              <w:jc w:val="center"/>
              <w:rPr>
                <w:rFonts w:ascii="Arial" w:hAnsi="Arial" w:cs="Arial"/>
                <w:sz w:val="16"/>
                <w:szCs w:val="16"/>
              </w:rPr>
            </w:pPr>
            <w:r>
              <w:rPr>
                <w:rFonts w:ascii="Arial" w:hAnsi="Arial" w:cs="Arial"/>
                <w:sz w:val="16"/>
                <w:szCs w:val="16"/>
              </w:rPr>
              <w:t>327</w:t>
            </w:r>
          </w:p>
        </w:tc>
        <w:tc>
          <w:tcPr>
            <w:tcW w:w="7514" w:type="dxa"/>
            <w:shd w:val="clear" w:color="auto" w:fill="auto"/>
            <w:vAlign w:val="center"/>
          </w:tcPr>
          <w:p w14:paraId="653DB9DE" w14:textId="304694F2" w:rsidR="007B7B44" w:rsidRPr="007B7B44" w:rsidRDefault="00C32F60" w:rsidP="007B7B44">
            <w:pPr>
              <w:rPr>
                <w:rFonts w:ascii="Arial" w:hAnsi="Arial" w:cs="Arial"/>
                <w:sz w:val="16"/>
                <w:szCs w:val="16"/>
              </w:rPr>
            </w:pPr>
            <w:r>
              <w:rPr>
                <w:rFonts w:ascii="Arial" w:hAnsi="Arial" w:cs="Arial"/>
                <w:sz w:val="16"/>
                <w:szCs w:val="16"/>
              </w:rPr>
              <w:t>Escuela profesional</w:t>
            </w:r>
          </w:p>
        </w:tc>
      </w:tr>
      <w:tr w:rsidR="007B7B44" w:rsidRPr="007B7B44" w14:paraId="35F1A4CD" w14:textId="77777777" w:rsidTr="00501759">
        <w:trPr>
          <w:trHeight w:val="430"/>
        </w:trPr>
        <w:tc>
          <w:tcPr>
            <w:tcW w:w="1413" w:type="dxa"/>
            <w:vAlign w:val="center"/>
          </w:tcPr>
          <w:p w14:paraId="3A2665BE" w14:textId="551D1317" w:rsidR="00C73B6D" w:rsidRPr="007B7B44" w:rsidRDefault="00C73B6D" w:rsidP="009F6EE7">
            <w:pPr>
              <w:rPr>
                <w:rFonts w:ascii="Arial" w:hAnsi="Arial" w:cs="Arial"/>
                <w:b/>
                <w:bCs/>
                <w:sz w:val="16"/>
                <w:szCs w:val="16"/>
              </w:rPr>
            </w:pPr>
            <w:r w:rsidRPr="007B7B44">
              <w:rPr>
                <w:rFonts w:ascii="Arial" w:hAnsi="Arial" w:cs="Arial"/>
                <w:b/>
                <w:bCs/>
                <w:sz w:val="16"/>
                <w:szCs w:val="16"/>
              </w:rPr>
              <w:t>Nivel de desagregación</w:t>
            </w:r>
          </w:p>
        </w:tc>
        <w:tc>
          <w:tcPr>
            <w:tcW w:w="8080" w:type="dxa"/>
            <w:gridSpan w:val="2"/>
            <w:shd w:val="clear" w:color="auto" w:fill="auto"/>
            <w:vAlign w:val="center"/>
          </w:tcPr>
          <w:p w14:paraId="76D3C9CD" w14:textId="3B35F940" w:rsidR="00C73B6D" w:rsidRPr="007B7B44" w:rsidRDefault="00E63371">
            <w:pPr>
              <w:rPr>
                <w:rFonts w:ascii="Arial" w:hAnsi="Arial" w:cs="Arial"/>
                <w:sz w:val="16"/>
                <w:szCs w:val="16"/>
              </w:rPr>
            </w:pPr>
            <w:r w:rsidRPr="007B7B44">
              <w:rPr>
                <w:rFonts w:ascii="Arial" w:hAnsi="Arial" w:cs="Arial"/>
                <w:sz w:val="16"/>
                <w:szCs w:val="16"/>
              </w:rPr>
              <w:t>Nacional</w:t>
            </w:r>
          </w:p>
        </w:tc>
      </w:tr>
    </w:tbl>
    <w:p w14:paraId="49FC6AB5" w14:textId="15D377CD" w:rsidR="00EF7C8F" w:rsidRPr="007B7B44" w:rsidRDefault="00EF7C8F">
      <w:pPr>
        <w:rPr>
          <w:rFonts w:ascii="Arial" w:hAnsi="Arial" w:cs="Arial"/>
          <w:color w:val="FF0000"/>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7B7B44" w:rsidRPr="007B7B44"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7B7B44" w:rsidRDefault="00E01366" w:rsidP="00E01366">
            <w:pPr>
              <w:rPr>
                <w:rFonts w:ascii="Arial" w:hAnsi="Arial" w:cs="Arial"/>
                <w:b/>
                <w:bCs/>
              </w:rPr>
            </w:pPr>
            <w:r w:rsidRPr="007B7B44">
              <w:rPr>
                <w:rFonts w:ascii="Arial" w:hAnsi="Arial" w:cs="Arial"/>
                <w:b/>
                <w:bCs/>
              </w:rPr>
              <w:t>Servicio y Tipología</w:t>
            </w:r>
          </w:p>
        </w:tc>
      </w:tr>
      <w:tr w:rsidR="007B7B44" w:rsidRPr="007B7B44" w14:paraId="3662FA07" w14:textId="77777777" w:rsidTr="007B7B44">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7B7B44" w:rsidRDefault="00E01366" w:rsidP="00D760A0">
            <w:pPr>
              <w:jc w:val="center"/>
              <w:rPr>
                <w:rFonts w:ascii="Arial" w:hAnsi="Arial" w:cs="Arial"/>
                <w:b/>
                <w:bCs/>
                <w:sz w:val="16"/>
                <w:szCs w:val="16"/>
              </w:rPr>
            </w:pPr>
            <w:r w:rsidRPr="007B7B44">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7B7B44" w:rsidRDefault="00E01366" w:rsidP="00D760A0">
            <w:pPr>
              <w:jc w:val="center"/>
              <w:rPr>
                <w:rFonts w:ascii="Arial" w:hAnsi="Arial" w:cs="Arial"/>
                <w:b/>
                <w:bCs/>
                <w:sz w:val="16"/>
                <w:szCs w:val="16"/>
              </w:rPr>
            </w:pPr>
          </w:p>
        </w:tc>
        <w:tc>
          <w:tcPr>
            <w:tcW w:w="47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7B7B44" w:rsidRDefault="00E01366" w:rsidP="00D760A0">
            <w:pPr>
              <w:jc w:val="center"/>
              <w:rPr>
                <w:rFonts w:ascii="Arial" w:hAnsi="Arial" w:cs="Arial"/>
                <w:b/>
                <w:bCs/>
                <w:sz w:val="16"/>
                <w:szCs w:val="16"/>
              </w:rPr>
            </w:pPr>
            <w:r w:rsidRPr="007B7B44">
              <w:rPr>
                <w:rFonts w:ascii="Arial" w:hAnsi="Arial" w:cs="Arial"/>
                <w:b/>
                <w:bCs/>
                <w:sz w:val="16"/>
                <w:szCs w:val="16"/>
              </w:rPr>
              <w:t>Tipología</w:t>
            </w:r>
          </w:p>
        </w:tc>
      </w:tr>
      <w:tr w:rsidR="007B7B44" w:rsidRPr="007B7B44" w14:paraId="2ABCBF34" w14:textId="77777777" w:rsidTr="007B7B44">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6B4DD15C" w:rsidR="007B7B44" w:rsidRPr="007B7B44" w:rsidRDefault="007B7B44" w:rsidP="007B7B44">
            <w:pPr>
              <w:rPr>
                <w:rFonts w:ascii="Arial" w:hAnsi="Arial" w:cs="Arial"/>
                <w:sz w:val="16"/>
                <w:szCs w:val="16"/>
              </w:rPr>
            </w:pPr>
            <w:r w:rsidRPr="007B7B44">
              <w:rPr>
                <w:rFonts w:ascii="Arial" w:hAnsi="Arial" w:cs="Arial"/>
                <w:sz w:val="16"/>
                <w:szCs w:val="16"/>
              </w:rPr>
              <w:t>269</w:t>
            </w:r>
          </w:p>
        </w:tc>
        <w:tc>
          <w:tcPr>
            <w:tcW w:w="3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0ED71890" w:rsidR="007B7B44" w:rsidRPr="007B7B44" w:rsidRDefault="007B7B44" w:rsidP="007B7B44">
            <w:pPr>
              <w:rPr>
                <w:rFonts w:ascii="Arial" w:hAnsi="Arial" w:cs="Arial"/>
                <w:sz w:val="16"/>
                <w:szCs w:val="16"/>
              </w:rPr>
            </w:pPr>
            <w:r w:rsidRPr="007B7B44">
              <w:rPr>
                <w:rFonts w:ascii="Arial" w:hAnsi="Arial" w:cs="Arial"/>
                <w:sz w:val="16"/>
                <w:szCs w:val="16"/>
              </w:rPr>
              <w:t>Servicio de Formación de Pregrado en Educación Superior Universitaria</w:t>
            </w:r>
          </w:p>
        </w:tc>
        <w:tc>
          <w:tcPr>
            <w:tcW w:w="234" w:type="dxa"/>
            <w:vMerge/>
            <w:tcBorders>
              <w:left w:val="single" w:sz="4" w:space="0" w:color="auto"/>
              <w:right w:val="single" w:sz="4" w:space="0" w:color="auto"/>
            </w:tcBorders>
            <w:shd w:val="clear" w:color="auto" w:fill="auto"/>
            <w:vAlign w:val="center"/>
          </w:tcPr>
          <w:p w14:paraId="00AD727F" w14:textId="77777777" w:rsidR="007B7B44" w:rsidRPr="007B7B44" w:rsidRDefault="007B7B44" w:rsidP="007B7B44">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205012B7" w:rsidR="007B7B44" w:rsidRPr="007B7B44" w:rsidRDefault="007B7B44" w:rsidP="007B7B44">
            <w:pPr>
              <w:rPr>
                <w:rFonts w:ascii="Arial" w:hAnsi="Arial" w:cs="Arial"/>
                <w:sz w:val="16"/>
                <w:szCs w:val="16"/>
              </w:rPr>
            </w:pPr>
            <w:r w:rsidRPr="007B7B44">
              <w:rPr>
                <w:rFonts w:ascii="Arial" w:hAnsi="Arial" w:cs="Arial"/>
                <w:sz w:val="16"/>
                <w:szCs w:val="16"/>
              </w:rPr>
              <w:t>380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5C553653" w:rsidR="007B7B44" w:rsidRPr="007B7B44" w:rsidRDefault="007B7B44" w:rsidP="007B7B44">
            <w:pPr>
              <w:rPr>
                <w:rFonts w:ascii="Arial" w:hAnsi="Arial" w:cs="Arial"/>
                <w:sz w:val="16"/>
                <w:szCs w:val="16"/>
              </w:rPr>
            </w:pPr>
            <w:r w:rsidRPr="007B7B44">
              <w:rPr>
                <w:rFonts w:ascii="Arial" w:hAnsi="Arial" w:cs="Arial"/>
                <w:sz w:val="16"/>
                <w:szCs w:val="16"/>
              </w:rPr>
              <w:t>Educación Superior Universitaria</w:t>
            </w:r>
          </w:p>
        </w:tc>
      </w:tr>
      <w:tr w:rsidR="007B7B44" w:rsidRPr="007B7B44" w14:paraId="39D46F29" w14:textId="77777777" w:rsidTr="007B7B44">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7B7B44" w:rsidRDefault="00E01366" w:rsidP="00D760A0">
            <w:pPr>
              <w:rPr>
                <w:rFonts w:ascii="Arial" w:hAnsi="Arial" w:cs="Arial"/>
                <w:sz w:val="16"/>
                <w:szCs w:val="16"/>
              </w:rPr>
            </w:pPr>
          </w:p>
        </w:tc>
        <w:tc>
          <w:tcPr>
            <w:tcW w:w="33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7B7B44"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7B7B4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7B7B44" w:rsidRDefault="00E01366" w:rsidP="00D760A0">
            <w:pPr>
              <w:rPr>
                <w:rFonts w:ascii="Arial" w:hAnsi="Arial" w:cs="Arial"/>
                <w:sz w:val="16"/>
                <w:szCs w:val="16"/>
              </w:rPr>
            </w:pPr>
          </w:p>
        </w:tc>
        <w:tc>
          <w:tcPr>
            <w:tcW w:w="3158" w:type="dxa"/>
            <w:tcBorders>
              <w:top w:val="single" w:sz="4" w:space="0" w:color="auto"/>
              <w:bottom w:val="single" w:sz="4" w:space="0" w:color="auto"/>
            </w:tcBorders>
            <w:shd w:val="clear" w:color="auto" w:fill="auto"/>
            <w:vAlign w:val="center"/>
          </w:tcPr>
          <w:p w14:paraId="5A66EE65" w14:textId="77777777" w:rsidR="00E01366" w:rsidRPr="007B7B44" w:rsidRDefault="00E01366" w:rsidP="00D760A0">
            <w:pPr>
              <w:rPr>
                <w:rFonts w:ascii="Arial" w:hAnsi="Arial" w:cs="Arial"/>
                <w:sz w:val="16"/>
                <w:szCs w:val="16"/>
              </w:rPr>
            </w:pPr>
          </w:p>
        </w:tc>
      </w:tr>
      <w:tr w:rsidR="007B7B44" w:rsidRPr="007B7B44" w14:paraId="01F704E6" w14:textId="77777777" w:rsidTr="007B7B44">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7B7B44" w:rsidRDefault="00E01366" w:rsidP="00D760A0">
            <w:pPr>
              <w:rPr>
                <w:rFonts w:ascii="Arial" w:hAnsi="Arial" w:cs="Arial"/>
                <w:sz w:val="16"/>
                <w:szCs w:val="16"/>
              </w:rPr>
            </w:pPr>
          </w:p>
        </w:tc>
        <w:tc>
          <w:tcPr>
            <w:tcW w:w="33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7B7B44"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7B7B4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7B7B44" w:rsidRDefault="00E01366" w:rsidP="00D760A0">
            <w:pPr>
              <w:rPr>
                <w:rFonts w:ascii="Arial" w:hAnsi="Arial" w:cs="Arial"/>
                <w:sz w:val="16"/>
                <w:szCs w:val="16"/>
              </w:rPr>
            </w:pPr>
            <w:r w:rsidRPr="007B7B44">
              <w:rPr>
                <w:rFonts w:ascii="Arial" w:hAnsi="Arial" w:cs="Arial"/>
                <w:sz w:val="16"/>
                <w:szCs w:val="16"/>
              </w:rPr>
              <w:t>ID</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7B7B44" w:rsidRDefault="00E01366" w:rsidP="00D760A0">
            <w:pPr>
              <w:rPr>
                <w:rFonts w:ascii="Arial" w:hAnsi="Arial" w:cs="Arial"/>
                <w:sz w:val="16"/>
                <w:szCs w:val="16"/>
              </w:rPr>
            </w:pPr>
          </w:p>
        </w:tc>
      </w:tr>
    </w:tbl>
    <w:p w14:paraId="648C5075" w14:textId="0786E3B6" w:rsidR="00E01366" w:rsidRPr="007B7B44"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7B7B44" w:rsidRPr="007B7B44"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7B7B44" w:rsidRDefault="00E01366" w:rsidP="00D760A0">
            <w:pPr>
              <w:rPr>
                <w:rFonts w:ascii="Arial" w:hAnsi="Arial" w:cs="Arial"/>
                <w:b/>
                <w:bCs/>
                <w:szCs w:val="20"/>
              </w:rPr>
            </w:pPr>
            <w:r w:rsidRPr="007B7B44">
              <w:rPr>
                <w:rFonts w:ascii="Arial" w:hAnsi="Arial" w:cs="Arial"/>
                <w:b/>
                <w:bCs/>
                <w:szCs w:val="20"/>
              </w:rPr>
              <w:t>Competencia del Servicio</w:t>
            </w:r>
          </w:p>
        </w:tc>
      </w:tr>
      <w:tr w:rsidR="007B7B44" w:rsidRPr="007B7B44"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Gobierno Local</w:t>
            </w:r>
          </w:p>
          <w:p w14:paraId="4FCF7C93"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Municip. Provincial</w:t>
            </w:r>
          </w:p>
        </w:tc>
        <w:tc>
          <w:tcPr>
            <w:tcW w:w="1780" w:type="dxa"/>
            <w:gridSpan w:val="3"/>
            <w:tcBorders>
              <w:top w:val="single" w:sz="4" w:space="0" w:color="auto"/>
            </w:tcBorders>
            <w:vAlign w:val="center"/>
          </w:tcPr>
          <w:p w14:paraId="65EAF0B0"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Gobierno Local</w:t>
            </w:r>
          </w:p>
          <w:p w14:paraId="01206F40"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Municip. Distrital</w:t>
            </w:r>
          </w:p>
        </w:tc>
        <w:tc>
          <w:tcPr>
            <w:tcW w:w="1951" w:type="dxa"/>
            <w:gridSpan w:val="3"/>
            <w:tcBorders>
              <w:top w:val="single" w:sz="4" w:space="0" w:color="auto"/>
              <w:right w:val="single" w:sz="4" w:space="0" w:color="auto"/>
            </w:tcBorders>
            <w:vAlign w:val="center"/>
          </w:tcPr>
          <w:p w14:paraId="54589F86"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Empresa</w:t>
            </w:r>
          </w:p>
        </w:tc>
      </w:tr>
      <w:tr w:rsidR="007B7B44" w:rsidRPr="007B7B44" w14:paraId="07F29AB9" w14:textId="77777777" w:rsidTr="00501759">
        <w:trPr>
          <w:trHeight w:val="84"/>
        </w:trPr>
        <w:tc>
          <w:tcPr>
            <w:tcW w:w="750" w:type="dxa"/>
            <w:tcBorders>
              <w:left w:val="single" w:sz="4" w:space="0" w:color="auto"/>
            </w:tcBorders>
            <w:vAlign w:val="center"/>
          </w:tcPr>
          <w:p w14:paraId="223AAEC1" w14:textId="77777777" w:rsidR="00E01366" w:rsidRPr="007B7B44"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7B7B44" w:rsidRDefault="00E01366" w:rsidP="00D760A0">
            <w:pPr>
              <w:rPr>
                <w:rFonts w:ascii="Arial" w:hAnsi="Arial" w:cs="Arial"/>
                <w:sz w:val="16"/>
                <w:szCs w:val="16"/>
              </w:rPr>
            </w:pPr>
          </w:p>
        </w:tc>
        <w:tc>
          <w:tcPr>
            <w:tcW w:w="650" w:type="dxa"/>
            <w:vAlign w:val="center"/>
          </w:tcPr>
          <w:p w14:paraId="2F8C63AE" w14:textId="77777777" w:rsidR="00E01366" w:rsidRPr="007B7B44" w:rsidRDefault="00E01366" w:rsidP="00D760A0">
            <w:pPr>
              <w:rPr>
                <w:rFonts w:ascii="Arial" w:hAnsi="Arial" w:cs="Arial"/>
                <w:sz w:val="16"/>
                <w:szCs w:val="18"/>
              </w:rPr>
            </w:pPr>
          </w:p>
        </w:tc>
        <w:tc>
          <w:tcPr>
            <w:tcW w:w="681" w:type="dxa"/>
            <w:vAlign w:val="center"/>
          </w:tcPr>
          <w:p w14:paraId="37D8C6FB" w14:textId="77777777" w:rsidR="00E01366" w:rsidRPr="007B7B44"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7B7B44" w:rsidRDefault="00E01366" w:rsidP="00D760A0">
            <w:pPr>
              <w:rPr>
                <w:rFonts w:ascii="Arial" w:hAnsi="Arial" w:cs="Arial"/>
                <w:sz w:val="16"/>
                <w:szCs w:val="18"/>
              </w:rPr>
            </w:pPr>
          </w:p>
        </w:tc>
        <w:tc>
          <w:tcPr>
            <w:tcW w:w="709" w:type="dxa"/>
            <w:vAlign w:val="center"/>
          </w:tcPr>
          <w:p w14:paraId="1377B682" w14:textId="77777777" w:rsidR="00E01366" w:rsidRPr="007B7B44" w:rsidRDefault="00E01366" w:rsidP="00D760A0">
            <w:pPr>
              <w:rPr>
                <w:rFonts w:ascii="Arial" w:hAnsi="Arial" w:cs="Arial"/>
                <w:sz w:val="16"/>
                <w:szCs w:val="18"/>
              </w:rPr>
            </w:pPr>
          </w:p>
        </w:tc>
        <w:tc>
          <w:tcPr>
            <w:tcW w:w="624" w:type="dxa"/>
            <w:vAlign w:val="center"/>
          </w:tcPr>
          <w:p w14:paraId="72A1492E" w14:textId="77777777" w:rsidR="00E01366" w:rsidRPr="007B7B44"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7B7B44" w:rsidRDefault="00E01366" w:rsidP="00D760A0">
            <w:pPr>
              <w:rPr>
                <w:rFonts w:ascii="Arial" w:hAnsi="Arial" w:cs="Arial"/>
                <w:sz w:val="16"/>
                <w:szCs w:val="18"/>
              </w:rPr>
            </w:pPr>
          </w:p>
        </w:tc>
        <w:tc>
          <w:tcPr>
            <w:tcW w:w="603" w:type="dxa"/>
            <w:vAlign w:val="center"/>
          </w:tcPr>
          <w:p w14:paraId="6B79396A" w14:textId="77777777" w:rsidR="00E01366" w:rsidRPr="007B7B44" w:rsidRDefault="00E01366" w:rsidP="00D760A0">
            <w:pPr>
              <w:rPr>
                <w:rFonts w:ascii="Arial" w:hAnsi="Arial" w:cs="Arial"/>
                <w:sz w:val="16"/>
                <w:szCs w:val="18"/>
              </w:rPr>
            </w:pPr>
          </w:p>
        </w:tc>
        <w:tc>
          <w:tcPr>
            <w:tcW w:w="595" w:type="dxa"/>
            <w:vAlign w:val="center"/>
          </w:tcPr>
          <w:p w14:paraId="249C8175" w14:textId="77777777" w:rsidR="00E01366" w:rsidRPr="007B7B44"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7B7B44" w:rsidRDefault="00E01366" w:rsidP="00D760A0">
            <w:pPr>
              <w:rPr>
                <w:rFonts w:ascii="Arial" w:hAnsi="Arial" w:cs="Arial"/>
                <w:sz w:val="16"/>
                <w:szCs w:val="18"/>
              </w:rPr>
            </w:pPr>
          </w:p>
        </w:tc>
        <w:tc>
          <w:tcPr>
            <w:tcW w:w="593" w:type="dxa"/>
            <w:vAlign w:val="center"/>
          </w:tcPr>
          <w:p w14:paraId="7FE7EEFC" w14:textId="77777777" w:rsidR="00E01366" w:rsidRPr="007B7B44" w:rsidRDefault="00E01366" w:rsidP="00D760A0">
            <w:pPr>
              <w:rPr>
                <w:rFonts w:ascii="Arial" w:hAnsi="Arial" w:cs="Arial"/>
                <w:sz w:val="16"/>
                <w:szCs w:val="18"/>
              </w:rPr>
            </w:pPr>
          </w:p>
        </w:tc>
        <w:tc>
          <w:tcPr>
            <w:tcW w:w="592" w:type="dxa"/>
            <w:vAlign w:val="center"/>
          </w:tcPr>
          <w:p w14:paraId="7FC829B6" w14:textId="77777777" w:rsidR="00E01366" w:rsidRPr="007B7B44"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7B7B44"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7B7B44" w:rsidRDefault="00E01366" w:rsidP="00D760A0">
            <w:pPr>
              <w:rPr>
                <w:rFonts w:ascii="Arial" w:hAnsi="Arial" w:cs="Arial"/>
                <w:sz w:val="16"/>
                <w:szCs w:val="18"/>
              </w:rPr>
            </w:pPr>
          </w:p>
        </w:tc>
      </w:tr>
      <w:tr w:rsidR="007B7B44" w:rsidRPr="007B7B44"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7B7B44"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333EB392" w:rsidR="00E01366" w:rsidRPr="007B7B44" w:rsidRDefault="00B06816" w:rsidP="00D760A0">
            <w:pPr>
              <w:jc w:val="center"/>
              <w:rPr>
                <w:rFonts w:ascii="Arial" w:hAnsi="Arial" w:cs="Arial"/>
                <w:sz w:val="18"/>
                <w:szCs w:val="16"/>
              </w:rPr>
            </w:pPr>
            <w:r w:rsidRPr="007B7B44">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7B7B44"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7B7B44"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158E194F" w:rsidR="00E01366" w:rsidRPr="007B7B44" w:rsidRDefault="00E63371" w:rsidP="00D760A0">
            <w:pPr>
              <w:jc w:val="center"/>
              <w:rPr>
                <w:rFonts w:ascii="Arial" w:hAnsi="Arial" w:cs="Arial"/>
                <w:sz w:val="18"/>
                <w:szCs w:val="18"/>
              </w:rPr>
            </w:pPr>
            <w:r w:rsidRPr="007B7B44">
              <w:rPr>
                <w:rFonts w:ascii="Arial" w:hAnsi="Arial" w:cs="Arial"/>
                <w:sz w:val="18"/>
                <w:szCs w:val="18"/>
              </w:rPr>
              <w:t>NO</w:t>
            </w:r>
          </w:p>
        </w:tc>
        <w:tc>
          <w:tcPr>
            <w:tcW w:w="709" w:type="dxa"/>
            <w:tcBorders>
              <w:left w:val="single" w:sz="4" w:space="0" w:color="auto"/>
            </w:tcBorders>
            <w:shd w:val="clear" w:color="auto" w:fill="auto"/>
            <w:vAlign w:val="center"/>
          </w:tcPr>
          <w:p w14:paraId="523175AE" w14:textId="77777777" w:rsidR="00E01366" w:rsidRPr="007B7B44"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7B7B44"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732AADFF" w:rsidR="00E01366" w:rsidRPr="007B7B44" w:rsidRDefault="00E63371" w:rsidP="00D760A0">
            <w:pPr>
              <w:jc w:val="center"/>
              <w:rPr>
                <w:rFonts w:ascii="Arial" w:hAnsi="Arial" w:cs="Arial"/>
                <w:sz w:val="18"/>
                <w:szCs w:val="18"/>
              </w:rPr>
            </w:pPr>
            <w:r w:rsidRPr="007B7B44">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7B7B44"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7B7B4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4F97E003" w:rsidR="00E01366" w:rsidRPr="007B7B44" w:rsidRDefault="00263A17" w:rsidP="00D760A0">
            <w:pPr>
              <w:jc w:val="center"/>
              <w:rPr>
                <w:rFonts w:ascii="Arial" w:hAnsi="Arial" w:cs="Arial"/>
                <w:sz w:val="18"/>
                <w:szCs w:val="18"/>
              </w:rPr>
            </w:pPr>
            <w:r w:rsidRPr="007B7B44">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7B7B44"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7B7B4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3A470549" w:rsidR="00E01366" w:rsidRPr="007B7B44" w:rsidRDefault="00B06816" w:rsidP="00D760A0">
            <w:pPr>
              <w:jc w:val="center"/>
              <w:rPr>
                <w:rFonts w:ascii="Arial" w:hAnsi="Arial" w:cs="Arial"/>
                <w:sz w:val="18"/>
                <w:szCs w:val="18"/>
              </w:rPr>
            </w:pPr>
            <w:r w:rsidRPr="007B7B44">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7B7B44" w:rsidRDefault="00E01366" w:rsidP="00D760A0">
            <w:pPr>
              <w:jc w:val="center"/>
              <w:rPr>
                <w:rFonts w:ascii="Arial" w:hAnsi="Arial" w:cs="Arial"/>
                <w:sz w:val="18"/>
                <w:szCs w:val="18"/>
              </w:rPr>
            </w:pPr>
          </w:p>
        </w:tc>
      </w:tr>
      <w:tr w:rsidR="007B7B44" w:rsidRPr="007B7B44"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7B7B44"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7B7B44"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7B7B44"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7B7B44"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7B7B44"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7B7B44"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7B7B44"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7B7B44"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7B7B44"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7B7B4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7B7B44"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7B7B44"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7B7B4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7B7B44"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7B7B44" w:rsidRDefault="00E01366" w:rsidP="00D760A0">
            <w:pPr>
              <w:jc w:val="center"/>
              <w:rPr>
                <w:rFonts w:ascii="Arial" w:hAnsi="Arial" w:cs="Arial"/>
                <w:sz w:val="16"/>
                <w:szCs w:val="18"/>
              </w:rPr>
            </w:pPr>
          </w:p>
        </w:tc>
      </w:tr>
    </w:tbl>
    <w:p w14:paraId="56272EEF" w14:textId="77777777" w:rsidR="00E01366" w:rsidRPr="007B7B44"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8C2ED7" w:rsidRPr="008C2ED7"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8C2ED7" w:rsidRDefault="002C6B38">
            <w:pPr>
              <w:rPr>
                <w:rFonts w:ascii="Arial" w:hAnsi="Arial" w:cs="Arial"/>
                <w:b/>
                <w:szCs w:val="20"/>
              </w:rPr>
            </w:pPr>
            <w:bookmarkStart w:id="1" w:name="_Hlk60147480"/>
            <w:r w:rsidRPr="008C2ED7">
              <w:rPr>
                <w:rFonts w:ascii="Arial" w:hAnsi="Arial" w:cs="Arial"/>
                <w:b/>
                <w:bCs/>
                <w:szCs w:val="20"/>
              </w:rPr>
              <w:t>Definición</w:t>
            </w:r>
          </w:p>
        </w:tc>
      </w:tr>
      <w:tr w:rsidR="007B7B44" w:rsidRPr="007B7B44"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7B7B44" w:rsidRDefault="002C6B38">
            <w:pPr>
              <w:rPr>
                <w:rFonts w:ascii="Arial" w:hAnsi="Arial" w:cs="Arial"/>
                <w:b/>
                <w:color w:val="FF0000"/>
                <w:szCs w:val="20"/>
              </w:rPr>
            </w:pPr>
          </w:p>
          <w:p w14:paraId="16041989" w14:textId="6EE64B0D" w:rsidR="00C32F60" w:rsidRDefault="00C32F60" w:rsidP="00C32F60">
            <w:pPr>
              <w:contextualSpacing/>
              <w:jc w:val="both"/>
              <w:rPr>
                <w:rFonts w:ascii="Arial" w:hAnsi="Arial"/>
                <w:sz w:val="20"/>
                <w:szCs w:val="20"/>
              </w:rPr>
            </w:pPr>
            <w:r>
              <w:rPr>
                <w:rFonts w:ascii="Arial" w:hAnsi="Arial"/>
                <w:sz w:val="20"/>
                <w:szCs w:val="20"/>
              </w:rPr>
              <w:t>El indicador representa el número de escuelas profesionales</w:t>
            </w:r>
            <w:r w:rsidR="003C707C">
              <w:rPr>
                <w:rFonts w:ascii="Arial" w:hAnsi="Arial"/>
                <w:sz w:val="20"/>
                <w:szCs w:val="20"/>
              </w:rPr>
              <w:t xml:space="preserve"> en las universidades públicas </w:t>
            </w:r>
            <w:r w:rsidR="00707060">
              <w:rPr>
                <w:rFonts w:ascii="Arial" w:hAnsi="Arial"/>
                <w:sz w:val="20"/>
                <w:szCs w:val="20"/>
              </w:rPr>
              <w:t xml:space="preserve">por implementar </w:t>
            </w:r>
            <w:r>
              <w:rPr>
                <w:rFonts w:ascii="Arial" w:hAnsi="Arial"/>
                <w:sz w:val="20"/>
                <w:szCs w:val="20"/>
              </w:rPr>
              <w:t xml:space="preserve">respecto al total de escuelas profesionales </w:t>
            </w:r>
            <w:r w:rsidR="0024075F">
              <w:rPr>
                <w:rFonts w:ascii="Arial" w:hAnsi="Arial"/>
                <w:sz w:val="20"/>
                <w:szCs w:val="20"/>
              </w:rPr>
              <w:t xml:space="preserve">existentes </w:t>
            </w:r>
            <w:r>
              <w:rPr>
                <w:rFonts w:ascii="Arial" w:hAnsi="Arial"/>
                <w:sz w:val="20"/>
                <w:szCs w:val="20"/>
              </w:rPr>
              <w:t>en las universidades públicas, expresado como porcentaje de las escuelas profesionales con dicha característica.</w:t>
            </w:r>
          </w:p>
          <w:p w14:paraId="365449CD" w14:textId="77777777" w:rsidR="00C32F60" w:rsidRDefault="00C32F60" w:rsidP="00C32F60">
            <w:pPr>
              <w:contextualSpacing/>
              <w:jc w:val="both"/>
              <w:rPr>
                <w:rFonts w:ascii="Arial" w:hAnsi="Arial"/>
                <w:sz w:val="20"/>
                <w:szCs w:val="20"/>
              </w:rPr>
            </w:pPr>
          </w:p>
          <w:p w14:paraId="5AA01DAE" w14:textId="41ACF0E0" w:rsidR="00C32F60" w:rsidRDefault="00C32F60" w:rsidP="00C32F60">
            <w:pPr>
              <w:contextualSpacing/>
              <w:jc w:val="both"/>
              <w:rPr>
                <w:rFonts w:ascii="Arial" w:hAnsi="Arial"/>
                <w:sz w:val="20"/>
                <w:szCs w:val="20"/>
              </w:rPr>
            </w:pPr>
            <w:r>
              <w:rPr>
                <w:rFonts w:ascii="Arial" w:hAnsi="Arial"/>
                <w:sz w:val="20"/>
                <w:szCs w:val="20"/>
              </w:rPr>
              <w:t xml:space="preserve">El servicio de formación de pregrado es uno de los servicios identificados en el marco del Sistema Nacional de Programación Multianual y Gestión de Inversiones (SNPMGI) para la educación superior universitaria, cuyos estudios asociados al servicio </w:t>
            </w:r>
            <w:r w:rsidR="00945050">
              <w:rPr>
                <w:rFonts w:ascii="Arial" w:hAnsi="Arial"/>
                <w:sz w:val="20"/>
                <w:szCs w:val="20"/>
              </w:rPr>
              <w:t>comprenden</w:t>
            </w:r>
            <w:r>
              <w:rPr>
                <w:rFonts w:ascii="Arial" w:hAnsi="Arial"/>
                <w:sz w:val="20"/>
                <w:szCs w:val="20"/>
              </w:rPr>
              <w:t xml:space="preserve"> los estudios generales y los estudios específicos y de especialidad. Tiene una duración mínima de 5 años</w:t>
            </w:r>
            <w:r w:rsidR="00945050">
              <w:rPr>
                <w:rFonts w:ascii="Arial" w:hAnsi="Arial"/>
                <w:sz w:val="20"/>
                <w:szCs w:val="20"/>
              </w:rPr>
              <w:t>.</w:t>
            </w:r>
            <w:r>
              <w:rPr>
                <w:rFonts w:ascii="Arial" w:hAnsi="Arial"/>
                <w:sz w:val="20"/>
                <w:szCs w:val="20"/>
              </w:rPr>
              <w:t xml:space="preserve"> </w:t>
            </w:r>
            <w:r w:rsidR="00945050">
              <w:rPr>
                <w:rFonts w:ascii="Arial" w:hAnsi="Arial"/>
                <w:sz w:val="20"/>
                <w:szCs w:val="20"/>
              </w:rPr>
              <w:t>S</w:t>
            </w:r>
            <w:r>
              <w:rPr>
                <w:rFonts w:ascii="Arial" w:hAnsi="Arial"/>
                <w:sz w:val="20"/>
                <w:szCs w:val="20"/>
              </w:rPr>
              <w:t>e realizan un máximo de 02 semestres por año</w:t>
            </w:r>
            <w:r>
              <w:rPr>
                <w:rStyle w:val="Refdenotaalpie"/>
                <w:rFonts w:ascii="Arial" w:hAnsi="Arial"/>
                <w:sz w:val="20"/>
                <w:szCs w:val="20"/>
              </w:rPr>
              <w:footnoteReference w:id="1"/>
            </w:r>
            <w:r>
              <w:rPr>
                <w:rFonts w:ascii="Arial" w:hAnsi="Arial"/>
                <w:sz w:val="20"/>
                <w:szCs w:val="20"/>
              </w:rPr>
              <w:t>.</w:t>
            </w:r>
          </w:p>
          <w:p w14:paraId="4B9F7EBE" w14:textId="77777777" w:rsidR="00C32F60" w:rsidRDefault="00C32F60" w:rsidP="00C32F60">
            <w:pPr>
              <w:contextualSpacing/>
              <w:jc w:val="both"/>
              <w:rPr>
                <w:rFonts w:ascii="Arial" w:hAnsi="Arial"/>
                <w:sz w:val="20"/>
                <w:szCs w:val="20"/>
              </w:rPr>
            </w:pPr>
          </w:p>
          <w:p w14:paraId="40CE1365" w14:textId="6990F71A" w:rsidR="00C32F60" w:rsidRDefault="00C32F60" w:rsidP="00C32F60">
            <w:pPr>
              <w:spacing w:before="240" w:after="120"/>
              <w:contextualSpacing/>
              <w:jc w:val="both"/>
              <w:rPr>
                <w:rFonts w:ascii="Arial" w:hAnsi="Arial"/>
                <w:sz w:val="20"/>
                <w:szCs w:val="20"/>
              </w:rPr>
            </w:pPr>
            <w:r>
              <w:rPr>
                <w:rFonts w:ascii="Arial" w:hAnsi="Arial"/>
                <w:sz w:val="20"/>
                <w:szCs w:val="20"/>
              </w:rPr>
              <w:t xml:space="preserve">La escuela profesional en el marco del SNPMGI </w:t>
            </w:r>
            <w:r w:rsidRPr="00052C05">
              <w:rPr>
                <w:rFonts w:ascii="Arial" w:hAnsi="Arial"/>
                <w:sz w:val="20"/>
                <w:szCs w:val="20"/>
              </w:rPr>
              <w:t xml:space="preserve">es el conjunto de recursos o factores productivos (infraestructura, equipos, </w:t>
            </w:r>
            <w:r w:rsidRPr="0039057B">
              <w:rPr>
                <w:rFonts w:ascii="Arial" w:hAnsi="Arial"/>
                <w:sz w:val="20"/>
                <w:szCs w:val="20"/>
              </w:rPr>
              <w:t>personal, organización, capacidad de gestión</w:t>
            </w:r>
            <w:r>
              <w:rPr>
                <w:rFonts w:ascii="Arial" w:hAnsi="Arial"/>
                <w:sz w:val="20"/>
                <w:szCs w:val="20"/>
              </w:rPr>
              <w:t>,</w:t>
            </w:r>
            <w:r w:rsidRPr="0039057B">
              <w:rPr>
                <w:rFonts w:ascii="Arial" w:hAnsi="Arial"/>
                <w:sz w:val="20"/>
                <w:szCs w:val="20"/>
              </w:rPr>
              <w:t xml:space="preserve"> entre otros) </w:t>
            </w:r>
            <w:r>
              <w:rPr>
                <w:rFonts w:ascii="Arial" w:hAnsi="Arial"/>
                <w:sz w:val="20"/>
                <w:szCs w:val="20"/>
              </w:rPr>
              <w:t xml:space="preserve">dentro de uno o más locales universitarios </w:t>
            </w:r>
            <w:r w:rsidRPr="0039057B">
              <w:rPr>
                <w:rFonts w:ascii="Arial" w:hAnsi="Arial"/>
                <w:sz w:val="20"/>
                <w:szCs w:val="20"/>
              </w:rPr>
              <w:t xml:space="preserve">que, articulados entre sí, tienen la capacidad de proveer </w:t>
            </w:r>
            <w:r>
              <w:rPr>
                <w:rFonts w:ascii="Arial" w:hAnsi="Arial"/>
                <w:sz w:val="20"/>
                <w:szCs w:val="20"/>
              </w:rPr>
              <w:t xml:space="preserve">el </w:t>
            </w:r>
            <w:r w:rsidRPr="0039057B">
              <w:rPr>
                <w:rFonts w:ascii="Arial" w:hAnsi="Arial"/>
                <w:sz w:val="20"/>
                <w:szCs w:val="20"/>
              </w:rPr>
              <w:t>servicio a la población objetivo.</w:t>
            </w:r>
            <w:r>
              <w:rPr>
                <w:rFonts w:ascii="Arial" w:hAnsi="Arial"/>
                <w:sz w:val="20"/>
                <w:szCs w:val="20"/>
              </w:rPr>
              <w:t xml:space="preserve"> </w:t>
            </w:r>
            <w:r>
              <w:rPr>
                <w:rFonts w:ascii="Arial" w:hAnsi="Arial" w:cs="Arial"/>
                <w:sz w:val="20"/>
                <w:szCs w:val="20"/>
              </w:rPr>
              <w:t>Cabe precisar que, dentro de un local universitario pueden funcionar una o más escuelas profesionales.</w:t>
            </w:r>
          </w:p>
          <w:p w14:paraId="3CCAD166" w14:textId="77777777" w:rsidR="00C32F60" w:rsidRPr="006B1118" w:rsidRDefault="00C32F60" w:rsidP="00C32F60">
            <w:pPr>
              <w:contextualSpacing/>
              <w:jc w:val="both"/>
              <w:rPr>
                <w:rFonts w:ascii="Arial" w:hAnsi="Arial"/>
                <w:sz w:val="20"/>
                <w:szCs w:val="20"/>
              </w:rPr>
            </w:pPr>
          </w:p>
          <w:p w14:paraId="4BD00960" w14:textId="77777777" w:rsidR="00C32F60" w:rsidRDefault="00C32F60" w:rsidP="00C32F60">
            <w:pPr>
              <w:contextualSpacing/>
              <w:jc w:val="both"/>
              <w:rPr>
                <w:rFonts w:ascii="Arial" w:hAnsi="Arial"/>
                <w:sz w:val="20"/>
                <w:szCs w:val="20"/>
              </w:rPr>
            </w:pPr>
            <w:r>
              <w:rPr>
                <w:rFonts w:ascii="Arial" w:hAnsi="Arial"/>
                <w:sz w:val="20"/>
                <w:szCs w:val="20"/>
              </w:rPr>
              <w:t>L</w:t>
            </w:r>
            <w:r w:rsidRPr="003D37E1">
              <w:rPr>
                <w:rFonts w:ascii="Arial" w:hAnsi="Arial"/>
                <w:sz w:val="20"/>
                <w:szCs w:val="20"/>
              </w:rPr>
              <w:t xml:space="preserve">a </w:t>
            </w:r>
            <w:r>
              <w:rPr>
                <w:rFonts w:ascii="Arial" w:hAnsi="Arial"/>
                <w:sz w:val="20"/>
                <w:szCs w:val="20"/>
              </w:rPr>
              <w:t>e</w:t>
            </w:r>
            <w:r w:rsidRPr="003D37E1">
              <w:rPr>
                <w:rFonts w:ascii="Arial" w:hAnsi="Arial"/>
                <w:sz w:val="20"/>
                <w:szCs w:val="20"/>
              </w:rPr>
              <w:t xml:space="preserve">scuela </w:t>
            </w:r>
            <w:r>
              <w:rPr>
                <w:rFonts w:ascii="Arial" w:hAnsi="Arial"/>
                <w:sz w:val="20"/>
                <w:szCs w:val="20"/>
              </w:rPr>
              <w:t>p</w:t>
            </w:r>
            <w:r w:rsidRPr="003D37E1">
              <w:rPr>
                <w:rFonts w:ascii="Arial" w:hAnsi="Arial"/>
                <w:sz w:val="20"/>
                <w:szCs w:val="20"/>
              </w:rPr>
              <w:t>rofesional es la organización encargada del diseño y actualización curricular de una carrera profesional, así como de dirigir su aplicación para la formación y capacitación pertinente, hasta la obtención de grado académico y título profesional correspondiente</w:t>
            </w:r>
            <w:r>
              <w:rPr>
                <w:rStyle w:val="Refdenotaalpie"/>
                <w:rFonts w:ascii="Arial" w:hAnsi="Arial"/>
                <w:sz w:val="20"/>
                <w:szCs w:val="20"/>
              </w:rPr>
              <w:footnoteReference w:id="2"/>
            </w:r>
            <w:r w:rsidRPr="003D37E1">
              <w:rPr>
                <w:rFonts w:ascii="Arial" w:hAnsi="Arial"/>
                <w:sz w:val="20"/>
                <w:szCs w:val="20"/>
              </w:rPr>
              <w:t>.</w:t>
            </w:r>
            <w:r>
              <w:rPr>
                <w:rFonts w:ascii="Arial" w:hAnsi="Arial"/>
                <w:sz w:val="20"/>
                <w:szCs w:val="20"/>
              </w:rPr>
              <w:t xml:space="preserve"> </w:t>
            </w:r>
          </w:p>
          <w:p w14:paraId="7F52E88A" w14:textId="3015E0F0" w:rsidR="002C6B38" w:rsidRPr="007B7B44" w:rsidRDefault="002C6B38">
            <w:pPr>
              <w:rPr>
                <w:rFonts w:ascii="Arial" w:hAnsi="Arial" w:cs="Arial"/>
                <w:b/>
                <w:color w:val="FF0000"/>
                <w:szCs w:val="20"/>
              </w:rPr>
            </w:pPr>
          </w:p>
        </w:tc>
      </w:tr>
      <w:tr w:rsidR="008C2ED7" w:rsidRPr="008C2ED7"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8C2ED7" w:rsidRDefault="002C6B38" w:rsidP="002C6B38">
            <w:pPr>
              <w:rPr>
                <w:rFonts w:ascii="Arial" w:hAnsi="Arial" w:cs="Arial"/>
                <w:b/>
                <w:szCs w:val="20"/>
              </w:rPr>
            </w:pPr>
            <w:r w:rsidRPr="008C2ED7">
              <w:rPr>
                <w:rFonts w:ascii="Arial" w:hAnsi="Arial" w:cs="Arial"/>
                <w:b/>
                <w:bCs/>
                <w:szCs w:val="20"/>
              </w:rPr>
              <w:t>Justificación</w:t>
            </w:r>
          </w:p>
        </w:tc>
      </w:tr>
      <w:tr w:rsidR="007B7B44" w:rsidRPr="007B7B44"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3A327B" w14:textId="77777777" w:rsidR="007A1BD6" w:rsidRDefault="007A1BD6" w:rsidP="00A35BC2">
            <w:pPr>
              <w:contextualSpacing/>
              <w:jc w:val="both"/>
              <w:rPr>
                <w:rFonts w:ascii="Arial" w:hAnsi="Arial"/>
                <w:sz w:val="20"/>
                <w:szCs w:val="20"/>
              </w:rPr>
            </w:pPr>
          </w:p>
          <w:p w14:paraId="0A3AB107" w14:textId="085C83D5" w:rsidR="00A35BC2" w:rsidRDefault="00A35BC2" w:rsidP="00A35BC2">
            <w:pPr>
              <w:contextualSpacing/>
              <w:jc w:val="both"/>
              <w:rPr>
                <w:rFonts w:ascii="Arial" w:hAnsi="Arial"/>
                <w:sz w:val="20"/>
                <w:szCs w:val="20"/>
              </w:rPr>
            </w:pPr>
            <w:r w:rsidRPr="00DC0E89">
              <w:rPr>
                <w:rFonts w:ascii="Arial" w:hAnsi="Arial"/>
                <w:sz w:val="20"/>
                <w:szCs w:val="20"/>
              </w:rPr>
              <w:t>Este indicador permite medir directamente la brecha de c</w:t>
            </w:r>
            <w:r>
              <w:rPr>
                <w:rFonts w:ascii="Arial" w:hAnsi="Arial"/>
                <w:sz w:val="20"/>
                <w:szCs w:val="20"/>
              </w:rPr>
              <w:t>obertura</w:t>
            </w:r>
            <w:r w:rsidRPr="00DC0E89">
              <w:rPr>
                <w:rFonts w:ascii="Arial" w:hAnsi="Arial"/>
                <w:sz w:val="20"/>
                <w:szCs w:val="20"/>
              </w:rPr>
              <w:t xml:space="preserve"> </w:t>
            </w:r>
            <w:r>
              <w:rPr>
                <w:rFonts w:ascii="Arial" w:hAnsi="Arial"/>
                <w:sz w:val="20"/>
                <w:szCs w:val="20"/>
              </w:rPr>
              <w:t>a través de la escuela profesional que faltan implementar</w:t>
            </w:r>
            <w:r w:rsidRPr="00DC0E89">
              <w:rPr>
                <w:rFonts w:ascii="Arial" w:hAnsi="Arial"/>
                <w:sz w:val="20"/>
                <w:szCs w:val="20"/>
              </w:rPr>
              <w:t xml:space="preserve"> </w:t>
            </w:r>
            <w:r>
              <w:rPr>
                <w:rFonts w:ascii="Arial" w:hAnsi="Arial"/>
                <w:sz w:val="20"/>
                <w:szCs w:val="20"/>
              </w:rPr>
              <w:t>la cual</w:t>
            </w:r>
            <w:r w:rsidRPr="00DC0E89">
              <w:rPr>
                <w:rFonts w:ascii="Arial" w:hAnsi="Arial"/>
                <w:sz w:val="20"/>
                <w:szCs w:val="20"/>
              </w:rPr>
              <w:t xml:space="preserve"> </w:t>
            </w:r>
            <w:r>
              <w:rPr>
                <w:rFonts w:ascii="Arial" w:hAnsi="Arial"/>
                <w:sz w:val="20"/>
                <w:szCs w:val="20"/>
              </w:rPr>
              <w:t xml:space="preserve">posteriormente con la creación de su infraestructura </w:t>
            </w:r>
            <w:r w:rsidRPr="00DC0E89">
              <w:rPr>
                <w:rFonts w:ascii="Arial" w:hAnsi="Arial"/>
                <w:sz w:val="20"/>
                <w:szCs w:val="20"/>
              </w:rPr>
              <w:t>brinda</w:t>
            </w:r>
            <w:r>
              <w:rPr>
                <w:rFonts w:ascii="Arial" w:hAnsi="Arial"/>
                <w:sz w:val="20"/>
                <w:szCs w:val="20"/>
              </w:rPr>
              <w:t>rá</w:t>
            </w:r>
            <w:r w:rsidRPr="00DC0E89">
              <w:rPr>
                <w:rFonts w:ascii="Arial" w:hAnsi="Arial"/>
                <w:sz w:val="20"/>
                <w:szCs w:val="20"/>
              </w:rPr>
              <w:t xml:space="preserve"> el </w:t>
            </w:r>
            <w:r>
              <w:rPr>
                <w:rFonts w:ascii="Arial" w:hAnsi="Arial"/>
                <w:bCs/>
                <w:sz w:val="20"/>
                <w:szCs w:val="20"/>
              </w:rPr>
              <w:t>S</w:t>
            </w:r>
            <w:r w:rsidRPr="00DC0E89">
              <w:rPr>
                <w:rFonts w:ascii="Arial" w:hAnsi="Arial"/>
                <w:bCs/>
                <w:sz w:val="20"/>
                <w:szCs w:val="20"/>
              </w:rPr>
              <w:t xml:space="preserve">ervicio de </w:t>
            </w:r>
            <w:r>
              <w:rPr>
                <w:rFonts w:ascii="Arial" w:hAnsi="Arial"/>
                <w:bCs/>
                <w:sz w:val="20"/>
                <w:szCs w:val="20"/>
              </w:rPr>
              <w:lastRenderedPageBreak/>
              <w:t xml:space="preserve">Formación </w:t>
            </w:r>
            <w:r w:rsidRPr="00DC0E89">
              <w:rPr>
                <w:rFonts w:ascii="Arial" w:hAnsi="Arial"/>
                <w:bCs/>
                <w:sz w:val="20"/>
                <w:szCs w:val="20"/>
              </w:rPr>
              <w:t xml:space="preserve">de </w:t>
            </w:r>
            <w:r>
              <w:rPr>
                <w:rFonts w:ascii="Arial" w:hAnsi="Arial"/>
                <w:bCs/>
                <w:sz w:val="20"/>
                <w:szCs w:val="20"/>
              </w:rPr>
              <w:t>P</w:t>
            </w:r>
            <w:r w:rsidRPr="00DC0E89">
              <w:rPr>
                <w:rFonts w:ascii="Arial" w:hAnsi="Arial"/>
                <w:bCs/>
                <w:sz w:val="20"/>
                <w:szCs w:val="20"/>
              </w:rPr>
              <w:t>regrado</w:t>
            </w:r>
            <w:r w:rsidRPr="00DC0E89">
              <w:rPr>
                <w:rFonts w:ascii="Arial" w:hAnsi="Arial"/>
                <w:sz w:val="20"/>
                <w:szCs w:val="20"/>
              </w:rPr>
              <w:t xml:space="preserve"> </w:t>
            </w:r>
            <w:r>
              <w:rPr>
                <w:rFonts w:ascii="Arial" w:hAnsi="Arial"/>
                <w:sz w:val="20"/>
                <w:szCs w:val="20"/>
              </w:rPr>
              <w:t>de Educación Superior Universitaria. Dado que la escuela profesional es una de las unidades de intervención de una inversión, la reducción del indicador tiene una relación directa con la ejecución de inversiones.</w:t>
            </w:r>
          </w:p>
          <w:p w14:paraId="08A615DD" w14:textId="77777777" w:rsidR="00A35BC2" w:rsidRDefault="00A35BC2" w:rsidP="00A35BC2">
            <w:pPr>
              <w:contextualSpacing/>
              <w:jc w:val="both"/>
              <w:rPr>
                <w:rFonts w:ascii="Arial" w:hAnsi="Arial"/>
                <w:sz w:val="20"/>
                <w:szCs w:val="20"/>
              </w:rPr>
            </w:pPr>
          </w:p>
          <w:p w14:paraId="66A17B3A" w14:textId="77777777" w:rsidR="00A35BC2" w:rsidRDefault="00A35BC2" w:rsidP="00A35BC2">
            <w:pPr>
              <w:contextualSpacing/>
              <w:jc w:val="both"/>
              <w:rPr>
                <w:rFonts w:ascii="Arial" w:hAnsi="Arial"/>
                <w:sz w:val="20"/>
                <w:szCs w:val="20"/>
              </w:rPr>
            </w:pPr>
            <w:r>
              <w:rPr>
                <w:rFonts w:ascii="Arial" w:hAnsi="Arial"/>
                <w:sz w:val="20"/>
                <w:szCs w:val="20"/>
                <w:lang w:val="es-MX"/>
              </w:rPr>
              <w:t>El presente indicador, cumple con los criterios mínimos para asegurar la calidad y pertinencia de un indicador, dado que es simple,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calidad del Servicio de Formación de Pregrado de Educación Superior Universitaria en el marco del SNPMGI. Es realista, ya que es posible medir el indicador con los recursos disponibles y la experiencia técnica de la entidad. Finalmente, el indicador es temporal, ya que dentro de la ficha se especifica la frecuencia o periodicidad de medición del indicador, la cual está sujeta a la disponibilidad de la información y a los objetivos del indicador.</w:t>
            </w:r>
          </w:p>
          <w:p w14:paraId="7D76E9E9" w14:textId="5CF90B53" w:rsidR="002C6B38" w:rsidRPr="00A35BC2" w:rsidRDefault="002C6B38" w:rsidP="00A35BC2">
            <w:pPr>
              <w:jc w:val="both"/>
              <w:rPr>
                <w:rFonts w:ascii="Arial" w:hAnsi="Arial" w:cs="Arial"/>
                <w:b/>
                <w:color w:val="FF0000"/>
                <w:szCs w:val="20"/>
              </w:rPr>
            </w:pPr>
          </w:p>
        </w:tc>
      </w:tr>
      <w:tr w:rsidR="007B7B44" w:rsidRPr="007B7B44"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8C2ED7" w:rsidRDefault="002C6B38" w:rsidP="002C6B38">
            <w:pPr>
              <w:rPr>
                <w:rFonts w:ascii="Arial" w:hAnsi="Arial" w:cs="Arial"/>
                <w:b/>
                <w:szCs w:val="20"/>
              </w:rPr>
            </w:pPr>
            <w:r w:rsidRPr="008C2ED7">
              <w:rPr>
                <w:rFonts w:ascii="Arial" w:hAnsi="Arial" w:cs="Arial"/>
                <w:b/>
                <w:szCs w:val="20"/>
              </w:rPr>
              <w:lastRenderedPageBreak/>
              <w:t>Método de Cálculo</w:t>
            </w:r>
          </w:p>
        </w:tc>
      </w:tr>
      <w:tr w:rsidR="005E0491" w:rsidRPr="000F0590" w14:paraId="4DEBCCAC" w14:textId="77777777" w:rsidTr="008B6E4C">
        <w:trPr>
          <w:trHeight w:val="165"/>
        </w:trPr>
        <w:tc>
          <w:tcPr>
            <w:tcW w:w="9500" w:type="dxa"/>
            <w:gridSpan w:val="7"/>
            <w:tcBorders>
              <w:top w:val="single" w:sz="4" w:space="0" w:color="auto"/>
              <w:left w:val="single" w:sz="4" w:space="0" w:color="auto"/>
              <w:right w:val="single" w:sz="4" w:space="0" w:color="auto"/>
            </w:tcBorders>
            <w:vAlign w:val="center"/>
          </w:tcPr>
          <w:p w14:paraId="416C1BF4" w14:textId="77777777" w:rsidR="005E0491" w:rsidRPr="00B35321" w:rsidRDefault="005E0491" w:rsidP="002A717D">
            <w:pPr>
              <w:rPr>
                <w:rFonts w:ascii="Arial" w:hAnsi="Arial" w:cs="Arial"/>
                <w:color w:val="FF0000"/>
                <w:sz w:val="18"/>
                <w:szCs w:val="20"/>
                <w:lang w:val="en-US"/>
              </w:rPr>
            </w:pPr>
          </w:p>
          <w:p w14:paraId="33041C96" w14:textId="416244E0" w:rsidR="005E0491" w:rsidRPr="005E0491" w:rsidRDefault="00F21C63" w:rsidP="002A717D">
            <w:pPr>
              <w:rPr>
                <w:rFonts w:ascii="Arial" w:eastAsiaTheme="minorEastAsia" w:hAnsi="Arial" w:cs="Arial"/>
                <w:lang w:val="en-US"/>
              </w:rPr>
            </w:pPr>
            <m:oMathPara>
              <m:oMath>
                <m:sSub>
                  <m:sSubPr>
                    <m:ctrlPr>
                      <w:rPr>
                        <w:rFonts w:ascii="Cambria Math" w:hAnsi="Cambria Math" w:cs="Arial"/>
                        <w:b/>
                        <w:bCs/>
                        <w:i/>
                      </w:rPr>
                    </m:ctrlPr>
                  </m:sSubPr>
                  <m:e>
                    <m:r>
                      <m:rPr>
                        <m:sty m:val="bi"/>
                      </m:rPr>
                      <w:rPr>
                        <w:rFonts w:ascii="Cambria Math" w:hAnsi="Cambria Math"/>
                        <w:sz w:val="24"/>
                        <w:szCs w:val="24"/>
                      </w:rPr>
                      <m:t>CTEPXI</m:t>
                    </m:r>
                  </m:e>
                  <m:sub>
                    <m:r>
                      <m:rPr>
                        <m:nor/>
                      </m:rPr>
                      <w:rPr>
                        <w:rFonts w:ascii="Arial" w:hAnsi="Arial" w:cs="Arial"/>
                        <w:b/>
                        <w:bCs/>
                        <w:lang w:val="fr-FR"/>
                      </w:rPr>
                      <m:t>t</m:t>
                    </m:r>
                  </m:sub>
                </m:sSub>
                <m:r>
                  <m:rPr>
                    <m:sty m:val="b"/>
                  </m:rPr>
                  <w:rPr>
                    <w:rStyle w:val="Refdenotaalpie"/>
                    <w:rFonts w:ascii="Cambria Math" w:hAnsi="Cambria Math"/>
                    <w:b/>
                  </w:rPr>
                  <w:footnoteReference w:id="3"/>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4"/>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×100 %=</m:t>
                </m:r>
              </m:oMath>
            </m:oMathPara>
          </w:p>
          <w:p w14:paraId="151B2875" w14:textId="6B793F2C" w:rsidR="005E0491" w:rsidRPr="005E0491" w:rsidRDefault="005E0491" w:rsidP="002A717D">
            <w:pPr>
              <w:rPr>
                <w:rFonts w:ascii="Arial" w:eastAsiaTheme="minorEastAsia" w:hAnsi="Arial" w:cs="Arial"/>
                <w:color w:val="FF0000"/>
                <w:sz w:val="18"/>
                <w:szCs w:val="20"/>
                <w:lang w:val="en-US"/>
              </w:rPr>
            </w:pPr>
          </w:p>
        </w:tc>
      </w:tr>
      <w:tr w:rsidR="007B7B44" w:rsidRPr="007B7B44" w14:paraId="6B5C1D44" w14:textId="29EA102C" w:rsidTr="00966297">
        <w:trPr>
          <w:trHeight w:val="255"/>
        </w:trPr>
        <w:tc>
          <w:tcPr>
            <w:tcW w:w="3444" w:type="dxa"/>
            <w:tcBorders>
              <w:left w:val="single" w:sz="4" w:space="0" w:color="auto"/>
            </w:tcBorders>
            <w:vAlign w:val="center"/>
          </w:tcPr>
          <w:p w14:paraId="07716DD5" w14:textId="2BD341FA" w:rsidR="002C6B38" w:rsidRPr="001B0933" w:rsidRDefault="002C6B38" w:rsidP="002C6B38">
            <w:pPr>
              <w:rPr>
                <w:rFonts w:ascii="Arial" w:hAnsi="Arial" w:cs="Arial"/>
                <w:sz w:val="18"/>
                <w:szCs w:val="20"/>
              </w:rPr>
            </w:pPr>
            <w:r w:rsidRPr="001B0933">
              <w:rPr>
                <w:rFonts w:ascii="Arial" w:hAnsi="Arial" w:cs="Arial"/>
                <w:sz w:val="18"/>
                <w:szCs w:val="20"/>
              </w:rPr>
              <w:t>Donde:</w:t>
            </w:r>
          </w:p>
        </w:tc>
        <w:tc>
          <w:tcPr>
            <w:tcW w:w="698" w:type="dxa"/>
            <w:vAlign w:val="center"/>
          </w:tcPr>
          <w:p w14:paraId="258F2A4B" w14:textId="7B8B66DF" w:rsidR="002C6B38" w:rsidRPr="001B0933"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1B0933"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1B0933"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1B0933"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1B0933"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1B0933" w:rsidRDefault="002C6B38" w:rsidP="002C6B38">
            <w:pPr>
              <w:rPr>
                <w:rFonts w:ascii="Arial" w:hAnsi="Arial" w:cs="Arial"/>
                <w:sz w:val="18"/>
                <w:szCs w:val="20"/>
              </w:rPr>
            </w:pPr>
          </w:p>
        </w:tc>
      </w:tr>
      <w:tr w:rsidR="007B7B44" w:rsidRPr="007B7B44" w14:paraId="47FDDA09" w14:textId="0C401BB7" w:rsidTr="001D5D9B">
        <w:trPr>
          <w:trHeight w:val="568"/>
        </w:trPr>
        <w:tc>
          <w:tcPr>
            <w:tcW w:w="3444" w:type="dxa"/>
            <w:tcBorders>
              <w:left w:val="single" w:sz="4" w:space="0" w:color="auto"/>
            </w:tcBorders>
            <w:vAlign w:val="center"/>
          </w:tcPr>
          <w:p w14:paraId="4BF3D8E8" w14:textId="5898ED1E" w:rsidR="002C6B38" w:rsidRPr="001B0933" w:rsidRDefault="002C6B38" w:rsidP="002C6B38">
            <w:pPr>
              <w:jc w:val="right"/>
              <w:rPr>
                <w:rFonts w:ascii="Arial" w:hAnsi="Arial" w:cs="Arial"/>
                <w:sz w:val="18"/>
                <w:szCs w:val="20"/>
              </w:rPr>
            </w:pPr>
            <w:r w:rsidRPr="001B0933">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1B0933" w:rsidRDefault="002C6B38" w:rsidP="002C6B38">
            <w:pPr>
              <w:jc w:val="center"/>
              <w:rPr>
                <w:rFonts w:ascii="Arial" w:hAnsi="Arial" w:cs="Arial"/>
                <w:sz w:val="18"/>
                <w:szCs w:val="20"/>
              </w:rPr>
            </w:pPr>
            <w:r w:rsidRPr="001B0933">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4EB7B237" w14:textId="2E2DD6E9" w:rsidR="00DB3A5B" w:rsidRPr="001B0933" w:rsidRDefault="00F21C63" w:rsidP="00DB3A5B">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CTEP</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19334B">
              <w:rPr>
                <w:rFonts w:ascii="Arial" w:hAnsi="Arial"/>
                <w:snapToGrid w:val="0"/>
                <w:sz w:val="20"/>
                <w:szCs w:val="20"/>
              </w:rPr>
              <w:t>Cantidad total de escuelas profesionales</w:t>
            </w:r>
            <w:r w:rsidR="00DB3A5B" w:rsidRPr="001B0933">
              <w:rPr>
                <w:rFonts w:ascii="Arial" w:hAnsi="Arial"/>
                <w:snapToGrid w:val="0"/>
                <w:sz w:val="20"/>
                <w:szCs w:val="20"/>
              </w:rPr>
              <w:t xml:space="preserve"> </w:t>
            </w:r>
            <w:r w:rsidR="0019334B">
              <w:rPr>
                <w:rFonts w:ascii="Arial" w:hAnsi="Arial"/>
                <w:snapToGrid w:val="0"/>
                <w:sz w:val="20"/>
                <w:szCs w:val="20"/>
              </w:rPr>
              <w:t>en las universidades públicas en el tiempo</w:t>
            </w:r>
            <w:r w:rsidR="00DB3A5B" w:rsidRPr="001B0933">
              <w:rPr>
                <w:rFonts w:ascii="Arial" w:hAnsi="Arial"/>
                <w:snapToGrid w:val="0"/>
                <w:sz w:val="20"/>
                <w:szCs w:val="20"/>
              </w:rPr>
              <w:t xml:space="preserve"> t.</w:t>
            </w:r>
          </w:p>
          <w:p w14:paraId="63C7C1CB" w14:textId="3FBE6B34" w:rsidR="002C6B38" w:rsidRPr="001B0933" w:rsidRDefault="002C6B38" w:rsidP="002C6B38">
            <w:pPr>
              <w:rPr>
                <w:rFonts w:ascii="Arial" w:hAnsi="Arial" w:cs="Arial"/>
                <w:sz w:val="18"/>
                <w:szCs w:val="20"/>
              </w:rPr>
            </w:pPr>
          </w:p>
        </w:tc>
        <w:tc>
          <w:tcPr>
            <w:tcW w:w="692" w:type="dxa"/>
            <w:tcBorders>
              <w:left w:val="single" w:sz="4" w:space="0" w:color="auto"/>
              <w:right w:val="single" w:sz="4" w:space="0" w:color="auto"/>
            </w:tcBorders>
            <w:vAlign w:val="center"/>
          </w:tcPr>
          <w:p w14:paraId="1273E212" w14:textId="77777777" w:rsidR="002C6B38" w:rsidRPr="001B0933" w:rsidRDefault="002C6B38" w:rsidP="002C6B38">
            <w:pPr>
              <w:rPr>
                <w:rFonts w:ascii="Arial" w:hAnsi="Arial" w:cs="Arial"/>
                <w:sz w:val="18"/>
                <w:szCs w:val="20"/>
              </w:rPr>
            </w:pPr>
          </w:p>
        </w:tc>
      </w:tr>
      <w:tr w:rsidR="007B7B44" w:rsidRPr="007B7B44"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1B0933" w:rsidRDefault="002C6B38" w:rsidP="002C6B38">
            <w:pPr>
              <w:rPr>
                <w:rFonts w:ascii="Arial" w:hAnsi="Arial" w:cs="Arial"/>
                <w:sz w:val="18"/>
                <w:szCs w:val="20"/>
              </w:rPr>
            </w:pPr>
          </w:p>
        </w:tc>
      </w:tr>
      <w:tr w:rsidR="007B7B44" w:rsidRPr="007B7B44" w14:paraId="0444C1B3" w14:textId="146F9E5D" w:rsidTr="00460F62">
        <w:trPr>
          <w:trHeight w:val="1158"/>
        </w:trPr>
        <w:tc>
          <w:tcPr>
            <w:tcW w:w="3444" w:type="dxa"/>
            <w:tcBorders>
              <w:left w:val="single" w:sz="4" w:space="0" w:color="auto"/>
              <w:bottom w:val="single" w:sz="4" w:space="0" w:color="auto"/>
            </w:tcBorders>
            <w:vAlign w:val="center"/>
          </w:tcPr>
          <w:p w14:paraId="18557181" w14:textId="19980578" w:rsidR="002C6B38" w:rsidRPr="001B0933" w:rsidRDefault="002C6B38" w:rsidP="002C6B38">
            <w:pPr>
              <w:jc w:val="right"/>
              <w:rPr>
                <w:rFonts w:ascii="Arial" w:hAnsi="Arial" w:cs="Arial"/>
                <w:sz w:val="18"/>
                <w:szCs w:val="20"/>
              </w:rPr>
            </w:pPr>
            <w:r w:rsidRPr="001B0933">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1B0933" w:rsidRDefault="002C6B38" w:rsidP="002C6B38">
            <w:pPr>
              <w:jc w:val="center"/>
              <w:rPr>
                <w:rFonts w:ascii="Arial" w:hAnsi="Arial" w:cs="Arial"/>
                <w:sz w:val="18"/>
                <w:szCs w:val="20"/>
              </w:rPr>
            </w:pPr>
            <w:r w:rsidRPr="001B0933">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33CC16D0" w:rsidR="002C6B38" w:rsidRPr="00460F62" w:rsidRDefault="00F21C63" w:rsidP="002C6B38">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CTEPI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63408E">
              <w:rPr>
                <w:rFonts w:ascii="Arial" w:hAnsi="Arial"/>
                <w:snapToGrid w:val="0"/>
                <w:sz w:val="20"/>
                <w:szCs w:val="20"/>
              </w:rPr>
              <w:t>Cantidad total de escuelas profesionales</w:t>
            </w:r>
            <w:r w:rsidR="0063408E" w:rsidRPr="001B0933">
              <w:rPr>
                <w:rFonts w:ascii="Arial" w:hAnsi="Arial"/>
                <w:snapToGrid w:val="0"/>
                <w:sz w:val="20"/>
                <w:szCs w:val="20"/>
              </w:rPr>
              <w:t xml:space="preserve"> </w:t>
            </w:r>
            <w:r w:rsidR="0063408E">
              <w:rPr>
                <w:rFonts w:ascii="Arial" w:hAnsi="Arial"/>
                <w:snapToGrid w:val="0"/>
                <w:sz w:val="20"/>
                <w:szCs w:val="20"/>
              </w:rPr>
              <w:t>en las universidades públicas implementados en el tiempo</w:t>
            </w:r>
            <w:r w:rsidR="0063408E" w:rsidRPr="001B0933">
              <w:rPr>
                <w:rFonts w:ascii="Arial" w:hAnsi="Arial"/>
                <w:snapToGrid w:val="0"/>
                <w:sz w:val="20"/>
                <w:szCs w:val="20"/>
              </w:rPr>
              <w:t xml:space="preserve">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1B0933" w:rsidRDefault="002C6B38" w:rsidP="002C6B38">
            <w:pPr>
              <w:rPr>
                <w:rFonts w:ascii="Arial" w:hAnsi="Arial" w:cs="Arial"/>
                <w:sz w:val="18"/>
                <w:szCs w:val="20"/>
              </w:rPr>
            </w:pPr>
          </w:p>
          <w:p w14:paraId="7FCDFD31" w14:textId="77777777" w:rsidR="00246044" w:rsidRPr="001B0933" w:rsidRDefault="00246044" w:rsidP="002C6B38">
            <w:pPr>
              <w:rPr>
                <w:rFonts w:ascii="Arial" w:hAnsi="Arial" w:cs="Arial"/>
                <w:sz w:val="18"/>
                <w:szCs w:val="20"/>
              </w:rPr>
            </w:pPr>
          </w:p>
          <w:p w14:paraId="416EB302" w14:textId="2E184D15" w:rsidR="00246044" w:rsidRDefault="00246044" w:rsidP="002C6B38">
            <w:pPr>
              <w:rPr>
                <w:rFonts w:ascii="Arial" w:hAnsi="Arial" w:cs="Arial"/>
                <w:sz w:val="18"/>
                <w:szCs w:val="20"/>
              </w:rPr>
            </w:pPr>
          </w:p>
          <w:p w14:paraId="7551E821" w14:textId="62434175" w:rsidR="0019334B" w:rsidRDefault="0019334B" w:rsidP="002C6B38">
            <w:pPr>
              <w:rPr>
                <w:rFonts w:ascii="Arial" w:hAnsi="Arial" w:cs="Arial"/>
                <w:sz w:val="18"/>
                <w:szCs w:val="20"/>
              </w:rPr>
            </w:pPr>
          </w:p>
          <w:p w14:paraId="49330EEE" w14:textId="46D089BE" w:rsidR="0019334B" w:rsidRDefault="0019334B" w:rsidP="002C6B38">
            <w:pPr>
              <w:rPr>
                <w:rFonts w:ascii="Arial" w:hAnsi="Arial" w:cs="Arial"/>
                <w:sz w:val="18"/>
                <w:szCs w:val="20"/>
              </w:rPr>
            </w:pPr>
          </w:p>
          <w:p w14:paraId="49410A3A" w14:textId="77777777" w:rsidR="0019334B" w:rsidRDefault="0019334B" w:rsidP="002C6B38">
            <w:pPr>
              <w:rPr>
                <w:rFonts w:ascii="Arial" w:hAnsi="Arial" w:cs="Arial"/>
                <w:sz w:val="18"/>
                <w:szCs w:val="20"/>
              </w:rPr>
            </w:pPr>
          </w:p>
          <w:p w14:paraId="191B0FC8" w14:textId="7B353A41" w:rsidR="0019334B" w:rsidRPr="001B0933" w:rsidRDefault="0019334B" w:rsidP="002C6B38">
            <w:pPr>
              <w:rPr>
                <w:rFonts w:ascii="Arial" w:hAnsi="Arial" w:cs="Arial"/>
                <w:sz w:val="18"/>
                <w:szCs w:val="20"/>
              </w:rPr>
            </w:pPr>
          </w:p>
        </w:tc>
      </w:tr>
      <w:tr w:rsidR="008C2ED7" w:rsidRPr="008C2ED7"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8C2ED7" w:rsidRDefault="002C6B38" w:rsidP="002C6B38">
            <w:pPr>
              <w:rPr>
                <w:rFonts w:ascii="Arial" w:hAnsi="Arial" w:cs="Arial"/>
                <w:sz w:val="18"/>
                <w:szCs w:val="20"/>
              </w:rPr>
            </w:pPr>
            <w:r w:rsidRPr="008C2ED7">
              <w:rPr>
                <w:rFonts w:ascii="Arial" w:hAnsi="Arial" w:cs="Arial"/>
                <w:b/>
                <w:bCs/>
                <w:szCs w:val="20"/>
              </w:rPr>
              <w:t>Precisiones</w:t>
            </w:r>
            <w:r w:rsidRPr="008C2ED7">
              <w:rPr>
                <w:rFonts w:ascii="Arial" w:hAnsi="Arial" w:cs="Arial"/>
                <w:b/>
                <w:bCs/>
                <w:sz w:val="20"/>
                <w:szCs w:val="20"/>
              </w:rPr>
              <w:t xml:space="preserve"> </w:t>
            </w:r>
            <w:r w:rsidRPr="008C2ED7">
              <w:rPr>
                <w:rFonts w:ascii="Arial" w:hAnsi="Arial" w:cs="Arial"/>
                <w:b/>
                <w:bCs/>
                <w:szCs w:val="20"/>
              </w:rPr>
              <w:t>Técnicas</w:t>
            </w:r>
          </w:p>
        </w:tc>
      </w:tr>
      <w:tr w:rsidR="007B7B44" w:rsidRPr="007B7B44"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716A700" w14:textId="77777777" w:rsidR="008C2ED7" w:rsidRPr="001B0933" w:rsidRDefault="008C2ED7" w:rsidP="008C2ED7">
            <w:pPr>
              <w:rPr>
                <w:rFonts w:ascii="Arial" w:hAnsi="Arial"/>
                <w:snapToGrid w:val="0"/>
                <w:sz w:val="20"/>
                <w:szCs w:val="20"/>
              </w:rPr>
            </w:pPr>
          </w:p>
          <w:p w14:paraId="57D99CEB" w14:textId="421EF669" w:rsidR="0051372A" w:rsidRDefault="00C10759" w:rsidP="0051372A">
            <w:pPr>
              <w:pStyle w:val="Prrafodelista"/>
              <w:numPr>
                <w:ilvl w:val="0"/>
                <w:numId w:val="27"/>
              </w:numPr>
              <w:jc w:val="both"/>
              <w:rPr>
                <w:rFonts w:ascii="Arial" w:hAnsi="Arial"/>
                <w:sz w:val="20"/>
                <w:szCs w:val="20"/>
              </w:rPr>
            </w:pPr>
            <w:r>
              <w:rPr>
                <w:rFonts w:ascii="Arial" w:hAnsi="Arial"/>
                <w:sz w:val="20"/>
                <w:szCs w:val="20"/>
              </w:rPr>
              <w:t>La</w:t>
            </w:r>
            <w:r w:rsidR="0051372A">
              <w:rPr>
                <w:rFonts w:ascii="Arial" w:hAnsi="Arial"/>
                <w:sz w:val="20"/>
                <w:szCs w:val="20"/>
              </w:rPr>
              <w:t xml:space="preserve"> cantidad total de escuelas profesionales en las universidades públicas es igual a la suma de escuelas </w:t>
            </w:r>
            <w:r w:rsidR="0051372A" w:rsidRPr="00CF1ABD">
              <w:rPr>
                <w:rFonts w:ascii="Arial" w:hAnsi="Arial"/>
                <w:sz w:val="20"/>
                <w:szCs w:val="20"/>
              </w:rPr>
              <w:t xml:space="preserve">profesionales que se </w:t>
            </w:r>
            <w:r w:rsidR="0051372A" w:rsidRPr="00550F82">
              <w:rPr>
                <w:rFonts w:ascii="Arial" w:hAnsi="Arial"/>
                <w:sz w:val="20"/>
                <w:szCs w:val="20"/>
              </w:rPr>
              <w:t xml:space="preserve">encuentran </w:t>
            </w:r>
            <w:r w:rsidR="0059631A" w:rsidRPr="00550F82">
              <w:rPr>
                <w:rFonts w:ascii="Arial" w:hAnsi="Arial"/>
                <w:sz w:val="20"/>
                <w:szCs w:val="20"/>
              </w:rPr>
              <w:t xml:space="preserve">implementadas </w:t>
            </w:r>
            <w:r w:rsidR="0051372A" w:rsidRPr="00550F82">
              <w:rPr>
                <w:rFonts w:ascii="Arial" w:hAnsi="Arial"/>
                <w:sz w:val="20"/>
                <w:szCs w:val="20"/>
              </w:rPr>
              <w:t>más las escuelas</w:t>
            </w:r>
            <w:r w:rsidR="0051372A" w:rsidRPr="00CF1ABD">
              <w:rPr>
                <w:rFonts w:ascii="Arial" w:hAnsi="Arial"/>
                <w:sz w:val="20"/>
                <w:szCs w:val="20"/>
              </w:rPr>
              <w:t xml:space="preserve"> profesionales por implementar.</w:t>
            </w:r>
          </w:p>
          <w:p w14:paraId="5265C97F" w14:textId="77777777" w:rsidR="0051372A" w:rsidRDefault="0051372A" w:rsidP="0051372A">
            <w:pPr>
              <w:pStyle w:val="Prrafodelista"/>
              <w:jc w:val="both"/>
              <w:rPr>
                <w:rFonts w:ascii="Arial" w:hAnsi="Arial"/>
                <w:sz w:val="20"/>
                <w:szCs w:val="20"/>
              </w:rPr>
            </w:pPr>
          </w:p>
          <w:p w14:paraId="25EFFD15" w14:textId="0843C394" w:rsidR="0051372A" w:rsidRDefault="00F21C63" w:rsidP="0051372A">
            <w:pPr>
              <w:pStyle w:val="Prrafodelista"/>
              <w:jc w:val="both"/>
              <w:rPr>
                <w:rFonts w:ascii="Arial" w:hAnsi="Arial"/>
                <w:sz w:val="20"/>
                <w:szCs w:val="20"/>
              </w:rPr>
            </w:pPr>
            <m:oMathPara>
              <m:oMath>
                <m:sSub>
                  <m:sSubPr>
                    <m:ctrlPr>
                      <w:rPr>
                        <w:rFonts w:ascii="Cambria Math" w:hAnsi="Cambria Math"/>
                        <w:b/>
                        <w:bCs/>
                        <w:i/>
                        <w:sz w:val="24"/>
                        <w:szCs w:val="24"/>
                      </w:rPr>
                    </m:ctrlPr>
                  </m:sSubPr>
                  <m:e>
                    <m:r>
                      <m:rPr>
                        <m:sty m:val="bi"/>
                      </m:rPr>
                      <w:rPr>
                        <w:rFonts w:ascii="Cambria Math" w:hAnsi="Cambria Math"/>
                        <w:sz w:val="24"/>
                        <w:szCs w:val="24"/>
                      </w:rPr>
                      <m:t>CTEP</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CTEPXI</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CTEPI</m:t>
                    </m:r>
                  </m:e>
                  <m:sub>
                    <m:r>
                      <m:rPr>
                        <m:sty m:val="bi"/>
                      </m:rPr>
                      <w:rPr>
                        <w:rFonts w:ascii="Cambria Math" w:hAnsi="Cambria Math"/>
                        <w:sz w:val="24"/>
                        <w:szCs w:val="24"/>
                      </w:rPr>
                      <m:t>t</m:t>
                    </m:r>
                  </m:sub>
                </m:sSub>
              </m:oMath>
            </m:oMathPara>
          </w:p>
          <w:p w14:paraId="02CCD058" w14:textId="77777777" w:rsidR="0051372A" w:rsidRPr="0078420E" w:rsidRDefault="0051372A" w:rsidP="0078420E">
            <w:pPr>
              <w:pStyle w:val="Prrafodelista"/>
              <w:jc w:val="both"/>
              <w:rPr>
                <w:rFonts w:ascii="Arial" w:hAnsi="Arial"/>
                <w:sz w:val="20"/>
                <w:szCs w:val="20"/>
              </w:rPr>
            </w:pPr>
          </w:p>
          <w:p w14:paraId="06617EEA" w14:textId="77777777" w:rsidR="0051372A" w:rsidRDefault="0051372A" w:rsidP="0051372A">
            <w:pPr>
              <w:rPr>
                <w:rFonts w:ascii="Arial" w:hAnsi="Arial"/>
                <w:snapToGrid w:val="0"/>
                <w:sz w:val="20"/>
                <w:szCs w:val="20"/>
              </w:rPr>
            </w:pPr>
          </w:p>
          <w:p w14:paraId="654E7A4D" w14:textId="77777777" w:rsidR="0051372A" w:rsidRPr="007B74F4" w:rsidRDefault="00F21C63" w:rsidP="0051372A">
            <w:pPr>
              <w:ind w:left="873" w:hanging="851"/>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CTEP</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51372A">
              <w:rPr>
                <w:rFonts w:ascii="Arial" w:hAnsi="Arial"/>
                <w:sz w:val="20"/>
                <w:szCs w:val="20"/>
              </w:rPr>
              <w:t xml:space="preserve">Cantidad total de </w:t>
            </w:r>
            <w:r w:rsidR="0051372A" w:rsidRPr="0078420E">
              <w:rPr>
                <w:rFonts w:ascii="Arial" w:hAnsi="Arial"/>
                <w:sz w:val="20"/>
                <w:szCs w:val="20"/>
              </w:rPr>
              <w:t xml:space="preserve">escuelas profesionales en las universidades públicas </w:t>
            </w:r>
            <w:r w:rsidR="0051372A">
              <w:rPr>
                <w:rFonts w:ascii="Arial" w:hAnsi="Arial"/>
                <w:sz w:val="20"/>
                <w:szCs w:val="20"/>
              </w:rPr>
              <w:t>en el tiempo t</w:t>
            </w:r>
          </w:p>
          <w:p w14:paraId="0ACC4D88" w14:textId="77777777" w:rsidR="0051372A" w:rsidRPr="0007251E" w:rsidRDefault="0051372A" w:rsidP="0007251E">
            <w:pPr>
              <w:jc w:val="both"/>
              <w:rPr>
                <w:rFonts w:ascii="Arial" w:hAnsi="Arial"/>
                <w:snapToGrid w:val="0"/>
                <w:sz w:val="20"/>
                <w:szCs w:val="20"/>
              </w:rPr>
            </w:pPr>
          </w:p>
          <w:p w14:paraId="5C72BF4C" w14:textId="67B0AAB1" w:rsidR="0051372A" w:rsidRPr="008E4125" w:rsidRDefault="00F21C63" w:rsidP="0051372A">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CTEPI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51372A">
              <w:rPr>
                <w:rFonts w:ascii="Arial" w:hAnsi="Arial"/>
                <w:sz w:val="20"/>
                <w:szCs w:val="20"/>
              </w:rPr>
              <w:t>Cantidad total de</w:t>
            </w:r>
            <w:r w:rsidR="0051372A" w:rsidRPr="008E4125">
              <w:rPr>
                <w:rFonts w:ascii="Arial" w:hAnsi="Arial"/>
                <w:sz w:val="20"/>
                <w:szCs w:val="20"/>
              </w:rPr>
              <w:t xml:space="preserve"> escuelas profesionales en las </w:t>
            </w:r>
            <w:r w:rsidR="0051372A" w:rsidRPr="00550F82">
              <w:rPr>
                <w:rFonts w:ascii="Arial" w:hAnsi="Arial"/>
                <w:sz w:val="20"/>
                <w:szCs w:val="20"/>
              </w:rPr>
              <w:t xml:space="preserve">universidades públicas </w:t>
            </w:r>
            <w:r w:rsidR="00B15291" w:rsidRPr="00550F82">
              <w:rPr>
                <w:rFonts w:ascii="Arial" w:hAnsi="Arial"/>
                <w:sz w:val="20"/>
                <w:szCs w:val="20"/>
              </w:rPr>
              <w:t>implementad</w:t>
            </w:r>
            <w:r w:rsidR="000F0590">
              <w:rPr>
                <w:rFonts w:ascii="Arial" w:hAnsi="Arial"/>
                <w:sz w:val="20"/>
                <w:szCs w:val="20"/>
              </w:rPr>
              <w:t>o</w:t>
            </w:r>
            <w:r w:rsidR="00B15291" w:rsidRPr="00550F82">
              <w:rPr>
                <w:rFonts w:ascii="Arial" w:hAnsi="Arial"/>
                <w:sz w:val="20"/>
                <w:szCs w:val="20"/>
              </w:rPr>
              <w:t>s</w:t>
            </w:r>
            <w:r w:rsidR="0051372A">
              <w:rPr>
                <w:rFonts w:ascii="Arial" w:hAnsi="Arial"/>
                <w:sz w:val="20"/>
                <w:szCs w:val="20"/>
              </w:rPr>
              <w:t xml:space="preserve"> en el tiempo t</w:t>
            </w:r>
          </w:p>
          <w:p w14:paraId="3921A146" w14:textId="77777777" w:rsidR="0051372A" w:rsidRDefault="0051372A" w:rsidP="0051372A">
            <w:pPr>
              <w:rPr>
                <w:rFonts w:ascii="Arial" w:hAnsi="Arial"/>
                <w:snapToGrid w:val="0"/>
                <w:sz w:val="20"/>
                <w:szCs w:val="20"/>
              </w:rPr>
            </w:pPr>
          </w:p>
          <w:p w14:paraId="5A34CC06" w14:textId="2F072C6D" w:rsidR="0051372A" w:rsidRPr="008E4125" w:rsidRDefault="00F21C63" w:rsidP="0051372A">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CTEPXI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51372A">
              <w:rPr>
                <w:rFonts w:ascii="Arial" w:hAnsi="Arial"/>
                <w:sz w:val="20"/>
                <w:szCs w:val="20"/>
              </w:rPr>
              <w:t xml:space="preserve">Cantidad total </w:t>
            </w:r>
            <w:r w:rsidR="0051372A" w:rsidRPr="008E4125">
              <w:rPr>
                <w:rFonts w:ascii="Arial" w:hAnsi="Arial"/>
                <w:sz w:val="20"/>
                <w:szCs w:val="20"/>
              </w:rPr>
              <w:t xml:space="preserve">de escuelas profesionales en </w:t>
            </w:r>
            <w:r w:rsidR="0051372A" w:rsidRPr="00550F82">
              <w:rPr>
                <w:rFonts w:ascii="Arial" w:hAnsi="Arial"/>
                <w:sz w:val="20"/>
                <w:szCs w:val="20"/>
              </w:rPr>
              <w:t>las universidades públicas por implementar en</w:t>
            </w:r>
            <w:r w:rsidR="0051372A">
              <w:rPr>
                <w:rFonts w:ascii="Arial" w:hAnsi="Arial"/>
                <w:sz w:val="20"/>
                <w:szCs w:val="20"/>
              </w:rPr>
              <w:t xml:space="preserve"> el</w:t>
            </w:r>
            <w:r w:rsidR="00B15291">
              <w:rPr>
                <w:rFonts w:ascii="Arial" w:hAnsi="Arial"/>
                <w:sz w:val="20"/>
                <w:szCs w:val="20"/>
              </w:rPr>
              <w:t xml:space="preserve"> </w:t>
            </w:r>
            <w:r w:rsidR="0051372A">
              <w:rPr>
                <w:rFonts w:ascii="Arial" w:hAnsi="Arial"/>
                <w:sz w:val="20"/>
                <w:szCs w:val="20"/>
              </w:rPr>
              <w:t>tiempo t</w:t>
            </w:r>
          </w:p>
          <w:p w14:paraId="241889FF" w14:textId="77777777" w:rsidR="0051372A" w:rsidRPr="0051372A" w:rsidRDefault="0051372A" w:rsidP="0063408E">
            <w:pPr>
              <w:pStyle w:val="Prrafodelista"/>
              <w:jc w:val="both"/>
              <w:rPr>
                <w:rFonts w:ascii="Arial" w:hAnsi="Arial"/>
                <w:snapToGrid w:val="0"/>
                <w:sz w:val="20"/>
                <w:szCs w:val="20"/>
              </w:rPr>
            </w:pPr>
          </w:p>
          <w:p w14:paraId="58C4BA58" w14:textId="4CFB42EA" w:rsidR="009462F3" w:rsidRPr="0078420E" w:rsidRDefault="009462F3" w:rsidP="00F30AED">
            <w:pPr>
              <w:pStyle w:val="Prrafodelista"/>
              <w:numPr>
                <w:ilvl w:val="0"/>
                <w:numId w:val="27"/>
              </w:numPr>
              <w:jc w:val="both"/>
              <w:rPr>
                <w:rFonts w:ascii="Arial" w:hAnsi="Arial"/>
                <w:snapToGrid w:val="0"/>
                <w:sz w:val="20"/>
                <w:szCs w:val="20"/>
              </w:rPr>
            </w:pPr>
            <w:r>
              <w:rPr>
                <w:rFonts w:ascii="Arial" w:hAnsi="Arial"/>
                <w:sz w:val="20"/>
                <w:szCs w:val="20"/>
              </w:rPr>
              <w:t>Para identificar a las</w:t>
            </w:r>
            <w:r w:rsidR="00F30AED">
              <w:rPr>
                <w:rFonts w:ascii="Arial" w:hAnsi="Arial"/>
                <w:sz w:val="20"/>
                <w:szCs w:val="20"/>
              </w:rPr>
              <w:t xml:space="preserve"> escuela</w:t>
            </w:r>
            <w:r>
              <w:rPr>
                <w:rFonts w:ascii="Arial" w:hAnsi="Arial"/>
                <w:sz w:val="20"/>
                <w:szCs w:val="20"/>
              </w:rPr>
              <w:t>s</w:t>
            </w:r>
            <w:r w:rsidR="00F30AED">
              <w:rPr>
                <w:rFonts w:ascii="Arial" w:hAnsi="Arial"/>
                <w:sz w:val="20"/>
                <w:szCs w:val="20"/>
              </w:rPr>
              <w:t xml:space="preserve"> profesional</w:t>
            </w:r>
            <w:r>
              <w:rPr>
                <w:rFonts w:ascii="Arial" w:hAnsi="Arial"/>
                <w:sz w:val="20"/>
                <w:szCs w:val="20"/>
              </w:rPr>
              <w:t>es que</w:t>
            </w:r>
            <w:r w:rsidR="00F30AED">
              <w:rPr>
                <w:rFonts w:ascii="Arial" w:hAnsi="Arial"/>
                <w:sz w:val="20"/>
                <w:szCs w:val="20"/>
              </w:rPr>
              <w:t xml:space="preserve"> </w:t>
            </w:r>
            <w:r>
              <w:rPr>
                <w:rFonts w:ascii="Arial" w:hAnsi="Arial"/>
                <w:sz w:val="20"/>
                <w:szCs w:val="20"/>
              </w:rPr>
              <w:t>están</w:t>
            </w:r>
            <w:r w:rsidR="00F30AED">
              <w:rPr>
                <w:rFonts w:ascii="Arial" w:hAnsi="Arial"/>
                <w:sz w:val="20"/>
                <w:szCs w:val="20"/>
              </w:rPr>
              <w:t xml:space="preserve"> por implementar,</w:t>
            </w:r>
            <w:r>
              <w:rPr>
                <w:rFonts w:ascii="Arial" w:hAnsi="Arial"/>
                <w:sz w:val="20"/>
                <w:szCs w:val="20"/>
              </w:rPr>
              <w:t xml:space="preserve"> </w:t>
            </w:r>
            <w:r w:rsidR="0063408E">
              <w:rPr>
                <w:rFonts w:ascii="Arial" w:hAnsi="Arial"/>
                <w:sz w:val="20"/>
                <w:szCs w:val="20"/>
              </w:rPr>
              <w:t xml:space="preserve">se </w:t>
            </w:r>
            <w:r>
              <w:rPr>
                <w:rFonts w:ascii="Arial" w:hAnsi="Arial"/>
                <w:sz w:val="20"/>
                <w:szCs w:val="20"/>
              </w:rPr>
              <w:t>debe cumplir 2 condiciones:</w:t>
            </w:r>
          </w:p>
          <w:p w14:paraId="4934CA19" w14:textId="77777777" w:rsidR="009462F3" w:rsidRPr="0078420E" w:rsidRDefault="009462F3" w:rsidP="0078420E">
            <w:pPr>
              <w:pStyle w:val="Prrafodelista"/>
              <w:jc w:val="both"/>
              <w:rPr>
                <w:rFonts w:ascii="Arial" w:hAnsi="Arial"/>
                <w:snapToGrid w:val="0"/>
                <w:sz w:val="20"/>
                <w:szCs w:val="20"/>
              </w:rPr>
            </w:pPr>
          </w:p>
          <w:p w14:paraId="74418DF5" w14:textId="6CB4F5A3" w:rsidR="009462F3" w:rsidRPr="0078420E" w:rsidRDefault="009462F3" w:rsidP="009462F3">
            <w:pPr>
              <w:pStyle w:val="Prrafodelista"/>
              <w:numPr>
                <w:ilvl w:val="0"/>
                <w:numId w:val="29"/>
              </w:numPr>
              <w:jc w:val="both"/>
              <w:rPr>
                <w:rFonts w:ascii="Arial" w:hAnsi="Arial"/>
                <w:snapToGrid w:val="0"/>
                <w:sz w:val="20"/>
                <w:szCs w:val="20"/>
              </w:rPr>
            </w:pPr>
            <w:r>
              <w:rPr>
                <w:rFonts w:ascii="Arial" w:hAnsi="Arial"/>
                <w:sz w:val="20"/>
                <w:szCs w:val="20"/>
              </w:rPr>
              <w:t>T</w:t>
            </w:r>
            <w:r w:rsidR="00F30AED">
              <w:rPr>
                <w:rFonts w:ascii="Arial" w:hAnsi="Arial"/>
                <w:sz w:val="20"/>
                <w:szCs w:val="20"/>
              </w:rPr>
              <w:t xml:space="preserve">iene </w:t>
            </w:r>
            <w:r>
              <w:rPr>
                <w:rFonts w:ascii="Arial" w:hAnsi="Arial"/>
                <w:sz w:val="20"/>
                <w:szCs w:val="20"/>
              </w:rPr>
              <w:t xml:space="preserve">un </w:t>
            </w:r>
            <w:r w:rsidR="00F30AED">
              <w:rPr>
                <w:rFonts w:ascii="Arial" w:hAnsi="Arial"/>
                <w:sz w:val="20"/>
                <w:szCs w:val="20"/>
              </w:rPr>
              <w:t xml:space="preserve">documento </w:t>
            </w:r>
            <w:r w:rsidR="0063408E">
              <w:rPr>
                <w:rFonts w:ascii="Arial" w:hAnsi="Arial"/>
                <w:sz w:val="20"/>
                <w:szCs w:val="20"/>
              </w:rPr>
              <w:t xml:space="preserve">de la universidad </w:t>
            </w:r>
            <w:r w:rsidR="00F30AED">
              <w:rPr>
                <w:rFonts w:ascii="Arial" w:hAnsi="Arial"/>
                <w:sz w:val="20"/>
                <w:szCs w:val="20"/>
              </w:rPr>
              <w:t>que autori</w:t>
            </w:r>
            <w:r w:rsidR="0063408E">
              <w:rPr>
                <w:rFonts w:ascii="Arial" w:hAnsi="Arial"/>
                <w:sz w:val="20"/>
                <w:szCs w:val="20"/>
              </w:rPr>
              <w:t>ce</w:t>
            </w:r>
            <w:r w:rsidR="00F30AED">
              <w:rPr>
                <w:rFonts w:ascii="Arial" w:hAnsi="Arial"/>
                <w:sz w:val="20"/>
                <w:szCs w:val="20"/>
              </w:rPr>
              <w:t xml:space="preserve"> su creación</w:t>
            </w:r>
            <w:r>
              <w:rPr>
                <w:rFonts w:ascii="Arial" w:hAnsi="Arial"/>
                <w:sz w:val="20"/>
                <w:szCs w:val="20"/>
              </w:rPr>
              <w:t>.</w:t>
            </w:r>
          </w:p>
          <w:p w14:paraId="3A0A9397" w14:textId="1BB88C46" w:rsidR="009462F3" w:rsidRPr="0078420E" w:rsidRDefault="005F34C6" w:rsidP="009462F3">
            <w:pPr>
              <w:pStyle w:val="Prrafodelista"/>
              <w:numPr>
                <w:ilvl w:val="0"/>
                <w:numId w:val="29"/>
              </w:numPr>
              <w:jc w:val="both"/>
              <w:rPr>
                <w:rFonts w:ascii="Arial" w:hAnsi="Arial"/>
                <w:snapToGrid w:val="0"/>
                <w:sz w:val="20"/>
                <w:szCs w:val="20"/>
              </w:rPr>
            </w:pPr>
            <w:r>
              <w:rPr>
                <w:rFonts w:ascii="Arial" w:hAnsi="Arial"/>
                <w:sz w:val="20"/>
                <w:szCs w:val="20"/>
              </w:rPr>
              <w:t>N</w:t>
            </w:r>
            <w:r w:rsidR="00F30AED">
              <w:rPr>
                <w:rFonts w:ascii="Arial" w:hAnsi="Arial"/>
                <w:sz w:val="20"/>
                <w:szCs w:val="20"/>
              </w:rPr>
              <w:t xml:space="preserve">o cuentan con una infraestructura para poder brindar el </w:t>
            </w:r>
            <w:r w:rsidR="00F30AED" w:rsidRPr="008E4125">
              <w:rPr>
                <w:rFonts w:ascii="Arial" w:hAnsi="Arial"/>
                <w:sz w:val="20"/>
                <w:szCs w:val="20"/>
              </w:rPr>
              <w:t>Servicio de Formación de Pregrado en Educación Superior Universitaria</w:t>
            </w:r>
            <w:r w:rsidR="00F30AED">
              <w:rPr>
                <w:rFonts w:ascii="Arial" w:hAnsi="Arial"/>
                <w:sz w:val="20"/>
                <w:szCs w:val="20"/>
              </w:rPr>
              <w:t xml:space="preserve"> y por lo tanto no están aún en funcionamiento.</w:t>
            </w:r>
          </w:p>
          <w:p w14:paraId="785BAF9F" w14:textId="0151A9FA" w:rsidR="002C6B38" w:rsidRPr="00456712" w:rsidRDefault="002C6B38" w:rsidP="0078420E">
            <w:pPr>
              <w:jc w:val="both"/>
              <w:rPr>
                <w:rFonts w:ascii="Arial" w:hAnsi="Arial"/>
                <w:snapToGrid w:val="0"/>
                <w:sz w:val="20"/>
                <w:szCs w:val="20"/>
              </w:rPr>
            </w:pPr>
          </w:p>
        </w:tc>
      </w:tr>
      <w:tr w:rsidR="008C2ED7" w:rsidRPr="008C2ED7"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1B0933" w:rsidRDefault="002C6B38" w:rsidP="002C6B38">
            <w:pPr>
              <w:rPr>
                <w:rFonts w:ascii="Arial" w:hAnsi="Arial" w:cs="Arial"/>
                <w:sz w:val="18"/>
                <w:szCs w:val="20"/>
              </w:rPr>
            </w:pPr>
            <w:r w:rsidRPr="001B0933">
              <w:rPr>
                <w:rFonts w:ascii="Arial" w:hAnsi="Arial" w:cs="Arial"/>
                <w:b/>
                <w:bCs/>
                <w:szCs w:val="20"/>
              </w:rPr>
              <w:t>Supuestos</w:t>
            </w:r>
          </w:p>
        </w:tc>
      </w:tr>
      <w:tr w:rsidR="007B7B44" w:rsidRPr="007B7B44"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8D3CFEF" w14:textId="77777777" w:rsidR="008B57D9" w:rsidRDefault="008B57D9" w:rsidP="008B57D9">
            <w:pPr>
              <w:rPr>
                <w:rFonts w:ascii="Arial" w:hAnsi="Arial"/>
                <w:snapToGrid w:val="0"/>
                <w:sz w:val="20"/>
                <w:szCs w:val="20"/>
              </w:rPr>
            </w:pPr>
          </w:p>
          <w:p w14:paraId="485FCE6D" w14:textId="70F63C94" w:rsidR="008B57D9" w:rsidRDefault="008B57D9" w:rsidP="008B57D9">
            <w:pPr>
              <w:pStyle w:val="Prrafodelista"/>
              <w:numPr>
                <w:ilvl w:val="0"/>
                <w:numId w:val="7"/>
              </w:numPr>
              <w:autoSpaceDE w:val="0"/>
              <w:autoSpaceDN w:val="0"/>
              <w:jc w:val="both"/>
              <w:rPr>
                <w:rFonts w:ascii="Arial" w:hAnsi="Arial"/>
                <w:sz w:val="20"/>
                <w:szCs w:val="20"/>
              </w:rPr>
            </w:pPr>
            <w:r>
              <w:rPr>
                <w:rFonts w:ascii="Arial" w:hAnsi="Arial"/>
                <w:sz w:val="20"/>
                <w:szCs w:val="20"/>
              </w:rPr>
              <w:lastRenderedPageBreak/>
              <w:t>El equipo técnico de la Unidad Formuladora que realiza el registro de la información asociada a la identificación de las escuelas profesionales cuenta con las competencias y habilidades e información necesaria para la actualización de la base de datos denominada “</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r w:rsidR="00983D78">
              <w:rPr>
                <w:rFonts w:ascii="Arial" w:hAnsi="Arial"/>
                <w:sz w:val="20"/>
                <w:szCs w:val="20"/>
              </w:rPr>
              <w:t>.</w:t>
            </w:r>
          </w:p>
          <w:p w14:paraId="0A878549" w14:textId="34F29EBC" w:rsidR="008B57D9" w:rsidRDefault="008B57D9" w:rsidP="008B57D9">
            <w:pPr>
              <w:pStyle w:val="Prrafodelista"/>
              <w:numPr>
                <w:ilvl w:val="0"/>
                <w:numId w:val="7"/>
              </w:numPr>
              <w:autoSpaceDE w:val="0"/>
              <w:autoSpaceDN w:val="0"/>
              <w:jc w:val="both"/>
              <w:rPr>
                <w:rFonts w:ascii="Arial" w:hAnsi="Arial"/>
                <w:sz w:val="20"/>
                <w:szCs w:val="20"/>
              </w:rPr>
            </w:pPr>
            <w:r>
              <w:rPr>
                <w:rFonts w:ascii="Arial" w:hAnsi="Arial"/>
                <w:sz w:val="20"/>
                <w:szCs w:val="20"/>
              </w:rPr>
              <w:t>Todas las universidades públicas a través de las Unidades Formuladoras que se encuentren registradas en el Banco de Inversiones, remiten todos los años dentro del plazo establecido por la Oficina de Programación Multianual de Inversiones la información asociada a la identificación y determinación del estado situacional para que esta, la consolide y elabor</w:t>
            </w:r>
            <w:r w:rsidR="00983D78">
              <w:rPr>
                <w:rFonts w:ascii="Arial" w:hAnsi="Arial"/>
                <w:sz w:val="20"/>
                <w:szCs w:val="20"/>
              </w:rPr>
              <w:t>e</w:t>
            </w:r>
            <w:r>
              <w:rPr>
                <w:rFonts w:ascii="Arial" w:hAnsi="Arial"/>
                <w:sz w:val="20"/>
                <w:szCs w:val="20"/>
              </w:rPr>
              <w:t xml:space="preserve"> la “</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p>
          <w:p w14:paraId="035CB7FC" w14:textId="5FB5D7E4" w:rsidR="00855A07" w:rsidRDefault="00855A07" w:rsidP="008B57D9">
            <w:pPr>
              <w:pStyle w:val="Prrafodelista"/>
              <w:numPr>
                <w:ilvl w:val="0"/>
                <w:numId w:val="7"/>
              </w:numPr>
              <w:autoSpaceDE w:val="0"/>
              <w:autoSpaceDN w:val="0"/>
              <w:jc w:val="both"/>
              <w:rPr>
                <w:rFonts w:ascii="Arial" w:hAnsi="Arial"/>
                <w:sz w:val="20"/>
                <w:szCs w:val="20"/>
              </w:rPr>
            </w:pPr>
            <w:r>
              <w:rPr>
                <w:rFonts w:ascii="Arial" w:hAnsi="Arial"/>
                <w:sz w:val="20"/>
                <w:szCs w:val="20"/>
              </w:rPr>
              <w:t>La creación de las nuevas escuelas profesionales responde a un estudio de demanda realizado por las universidades públicas.</w:t>
            </w:r>
          </w:p>
          <w:p w14:paraId="5E283ACA" w14:textId="54938B64" w:rsidR="00EE772D" w:rsidRPr="008F73FA" w:rsidRDefault="00EE772D" w:rsidP="008B57D9">
            <w:pPr>
              <w:pStyle w:val="Prrafodelista"/>
              <w:numPr>
                <w:ilvl w:val="0"/>
                <w:numId w:val="7"/>
              </w:numPr>
              <w:autoSpaceDE w:val="0"/>
              <w:autoSpaceDN w:val="0"/>
              <w:jc w:val="both"/>
              <w:rPr>
                <w:rFonts w:ascii="Arial" w:hAnsi="Arial"/>
                <w:sz w:val="20"/>
                <w:szCs w:val="20"/>
              </w:rPr>
            </w:pPr>
            <w:r>
              <w:rPr>
                <w:rFonts w:ascii="Arial" w:hAnsi="Arial"/>
                <w:sz w:val="20"/>
                <w:szCs w:val="20"/>
              </w:rPr>
              <w:t>La escuela profesional de una universidad pública solo puede tener asociada una carrera profesional</w:t>
            </w:r>
          </w:p>
          <w:p w14:paraId="53FF7498" w14:textId="64B6F214" w:rsidR="002C6B38" w:rsidRPr="001B0933" w:rsidRDefault="002C6B38">
            <w:pPr>
              <w:rPr>
                <w:rFonts w:cs="Arial"/>
                <w:sz w:val="18"/>
              </w:rPr>
            </w:pPr>
          </w:p>
        </w:tc>
      </w:tr>
      <w:tr w:rsidR="008C2ED7" w:rsidRPr="008C2ED7"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4A6EB0C8" w:rsidR="002C6B38" w:rsidRPr="001B0933" w:rsidRDefault="00B42D60" w:rsidP="00B42D60">
            <w:pPr>
              <w:rPr>
                <w:rFonts w:ascii="Arial" w:hAnsi="Arial" w:cs="Arial"/>
                <w:sz w:val="18"/>
                <w:szCs w:val="20"/>
              </w:rPr>
            </w:pPr>
            <w:r w:rsidRPr="001B0933">
              <w:rPr>
                <w:rFonts w:ascii="Arial" w:hAnsi="Arial" w:cs="Arial"/>
                <w:b/>
                <w:bCs/>
                <w:szCs w:val="20"/>
              </w:rPr>
              <w:lastRenderedPageBreak/>
              <w:t>Limitaciones</w:t>
            </w:r>
          </w:p>
        </w:tc>
      </w:tr>
      <w:tr w:rsidR="007B7B44" w:rsidRPr="007B7B44"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C0990D5" w14:textId="77777777" w:rsidR="006F19F8" w:rsidRDefault="006F19F8" w:rsidP="006F19F8">
            <w:pPr>
              <w:pStyle w:val="Prrafodelista"/>
              <w:jc w:val="both"/>
              <w:rPr>
                <w:rFonts w:ascii="Arial" w:hAnsi="Arial"/>
                <w:snapToGrid w:val="0"/>
                <w:sz w:val="20"/>
                <w:szCs w:val="20"/>
              </w:rPr>
            </w:pPr>
          </w:p>
          <w:p w14:paraId="70EAE78C" w14:textId="2CD98A86" w:rsidR="00855A07" w:rsidRDefault="00855A07" w:rsidP="00932B28">
            <w:pPr>
              <w:pStyle w:val="Prrafodelista"/>
              <w:numPr>
                <w:ilvl w:val="0"/>
                <w:numId w:val="28"/>
              </w:numPr>
              <w:jc w:val="both"/>
              <w:rPr>
                <w:rFonts w:ascii="Arial" w:hAnsi="Arial"/>
                <w:snapToGrid w:val="0"/>
                <w:sz w:val="20"/>
                <w:szCs w:val="20"/>
              </w:rPr>
            </w:pPr>
            <w:r>
              <w:rPr>
                <w:rFonts w:ascii="Arial" w:hAnsi="Arial"/>
                <w:snapToGrid w:val="0"/>
                <w:sz w:val="20"/>
                <w:szCs w:val="20"/>
              </w:rPr>
              <w:t xml:space="preserve">La base de datos denominada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 es solo declarativa por parte de la unidad formuladora</w:t>
            </w:r>
          </w:p>
          <w:p w14:paraId="7F3F3AA1" w14:textId="3A3AC389" w:rsidR="00855A07" w:rsidRPr="001B0933" w:rsidRDefault="00855A07" w:rsidP="008C2ED7">
            <w:pPr>
              <w:pStyle w:val="Prrafodelista"/>
              <w:numPr>
                <w:ilvl w:val="0"/>
                <w:numId w:val="28"/>
              </w:numPr>
              <w:jc w:val="both"/>
              <w:rPr>
                <w:rFonts w:ascii="Arial" w:hAnsi="Arial"/>
                <w:snapToGrid w:val="0"/>
                <w:sz w:val="20"/>
                <w:szCs w:val="20"/>
              </w:rPr>
            </w:pPr>
            <w:r>
              <w:rPr>
                <w:rFonts w:ascii="Arial" w:hAnsi="Arial"/>
                <w:snapToGrid w:val="0"/>
                <w:sz w:val="20"/>
                <w:szCs w:val="20"/>
              </w:rPr>
              <w:t xml:space="preserve">La base de datos denominada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 solo tiene un alcance para las universidades nacionales y no privadas.</w:t>
            </w:r>
          </w:p>
          <w:p w14:paraId="123EB2D1" w14:textId="3EB96B64" w:rsidR="002C6B38" w:rsidRPr="001B0933" w:rsidRDefault="002C6B38" w:rsidP="0078420E">
            <w:pPr>
              <w:pStyle w:val="Prrafodelista"/>
              <w:jc w:val="both"/>
              <w:rPr>
                <w:rFonts w:ascii="Arial" w:hAnsi="Arial" w:cs="Arial"/>
                <w:sz w:val="18"/>
                <w:szCs w:val="20"/>
              </w:rPr>
            </w:pPr>
          </w:p>
        </w:tc>
      </w:tr>
      <w:tr w:rsidR="008C2ED7" w:rsidRPr="008C2ED7"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1B0933" w:rsidRDefault="002C6B38" w:rsidP="002C6B38">
            <w:pPr>
              <w:rPr>
                <w:rFonts w:ascii="Arial" w:hAnsi="Arial" w:cs="Arial"/>
                <w:sz w:val="18"/>
                <w:szCs w:val="20"/>
              </w:rPr>
            </w:pPr>
            <w:r w:rsidRPr="001B0933">
              <w:rPr>
                <w:rFonts w:ascii="Arial" w:hAnsi="Arial" w:cs="Arial"/>
                <w:b/>
                <w:bCs/>
              </w:rPr>
              <w:t>Fuente de Datos</w:t>
            </w:r>
          </w:p>
        </w:tc>
      </w:tr>
      <w:tr w:rsidR="007B7B44" w:rsidRPr="007B7B44"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B787C6D" w14:textId="77777777" w:rsidR="00855A07" w:rsidRPr="001B3721" w:rsidRDefault="00855A07" w:rsidP="00855A07">
            <w:pPr>
              <w:spacing w:before="240" w:after="120"/>
              <w:jc w:val="both"/>
              <w:rPr>
                <w:rFonts w:ascii="Arial" w:hAnsi="Arial"/>
                <w:sz w:val="20"/>
                <w:szCs w:val="20"/>
                <w:lang w:val="es-MX"/>
              </w:rPr>
            </w:pPr>
            <w:r w:rsidRPr="001B3721">
              <w:rPr>
                <w:rFonts w:ascii="Arial" w:hAnsi="Arial"/>
                <w:sz w:val="20"/>
                <w:szCs w:val="20"/>
                <w:lang w:val="es-MX"/>
              </w:rPr>
              <w:t xml:space="preserve">Responsables de </w:t>
            </w:r>
            <w:r>
              <w:rPr>
                <w:rFonts w:ascii="Arial" w:hAnsi="Arial"/>
                <w:sz w:val="20"/>
                <w:szCs w:val="20"/>
                <w:lang w:val="es-MX"/>
              </w:rPr>
              <w:t xml:space="preserve">la </w:t>
            </w:r>
            <w:r w:rsidRPr="001B3721">
              <w:rPr>
                <w:rFonts w:ascii="Arial" w:hAnsi="Arial"/>
                <w:sz w:val="20"/>
                <w:szCs w:val="20"/>
                <w:lang w:val="es-MX"/>
              </w:rPr>
              <w:t>información:</w:t>
            </w:r>
          </w:p>
          <w:p w14:paraId="22CD13D1" w14:textId="77777777" w:rsidR="00CF1ABD" w:rsidRDefault="00CF1ABD" w:rsidP="00CF1ABD">
            <w:pPr>
              <w:pStyle w:val="Prrafodelista"/>
              <w:numPr>
                <w:ilvl w:val="0"/>
                <w:numId w:val="7"/>
              </w:numPr>
              <w:spacing w:before="240" w:after="120"/>
              <w:jc w:val="both"/>
              <w:rPr>
                <w:rFonts w:ascii="Arial" w:hAnsi="Arial"/>
                <w:sz w:val="20"/>
                <w:szCs w:val="20"/>
                <w:lang w:val="es-MX"/>
              </w:rPr>
            </w:pPr>
            <w:r>
              <w:rPr>
                <w:rFonts w:ascii="Arial" w:hAnsi="Arial"/>
                <w:sz w:val="20"/>
                <w:szCs w:val="20"/>
                <w:lang w:val="es-MX"/>
              </w:rPr>
              <w:t xml:space="preserve">Unidades Formuladoras de las universidades, a través de la implementación del inventario de unidades productoras y activos estratégicos, y la Dirección General de Educación Superior Universitaria a través de su función para </w:t>
            </w:r>
            <w:r w:rsidRPr="00CB5BB3">
              <w:rPr>
                <w:rFonts w:ascii="Arial" w:hAnsi="Arial"/>
                <w:sz w:val="20"/>
                <w:szCs w:val="20"/>
                <w:lang w:val="es-MX"/>
              </w:rPr>
              <w:t xml:space="preserve">de dirigir, coordinar, promover, efectuar el seguimiento y evaluar las políticas para el desarrollo y aseguramiento de la calidad de la </w:t>
            </w:r>
            <w:r>
              <w:rPr>
                <w:rFonts w:ascii="Arial" w:hAnsi="Arial"/>
                <w:sz w:val="20"/>
                <w:szCs w:val="20"/>
                <w:lang w:val="es-MX"/>
              </w:rPr>
              <w:t>E</w:t>
            </w:r>
            <w:r w:rsidRPr="00CB5BB3">
              <w:rPr>
                <w:rFonts w:ascii="Arial" w:hAnsi="Arial"/>
                <w:sz w:val="20"/>
                <w:szCs w:val="20"/>
                <w:lang w:val="es-MX"/>
              </w:rPr>
              <w:t xml:space="preserve">ducación </w:t>
            </w:r>
            <w:r>
              <w:rPr>
                <w:rFonts w:ascii="Arial" w:hAnsi="Arial"/>
                <w:sz w:val="20"/>
                <w:szCs w:val="20"/>
                <w:lang w:val="es-MX"/>
              </w:rPr>
              <w:t>S</w:t>
            </w:r>
            <w:r w:rsidRPr="00CB5BB3">
              <w:rPr>
                <w:rFonts w:ascii="Arial" w:hAnsi="Arial"/>
                <w:sz w:val="20"/>
                <w:szCs w:val="20"/>
                <w:lang w:val="es-MX"/>
              </w:rPr>
              <w:t xml:space="preserve">uperior </w:t>
            </w:r>
            <w:r>
              <w:rPr>
                <w:rFonts w:ascii="Arial" w:hAnsi="Arial"/>
                <w:sz w:val="20"/>
                <w:szCs w:val="20"/>
                <w:lang w:val="es-MX"/>
              </w:rPr>
              <w:t>U</w:t>
            </w:r>
            <w:r w:rsidRPr="00CB5BB3">
              <w:rPr>
                <w:rFonts w:ascii="Arial" w:hAnsi="Arial"/>
                <w:sz w:val="20"/>
                <w:szCs w:val="20"/>
                <w:lang w:val="es-MX"/>
              </w:rPr>
              <w:t>niversitaria, así como de proponer documentos normativos que regulen la vinculación del ministerio con las universidades públicas y privadas, y que promuevan la mejora y el uso eficaz de los recursos públicos por las universidades</w:t>
            </w:r>
            <w:r>
              <w:rPr>
                <w:rFonts w:ascii="Arial" w:hAnsi="Arial"/>
                <w:sz w:val="20"/>
                <w:szCs w:val="20"/>
                <w:lang w:val="es-MX"/>
              </w:rPr>
              <w:t>, en el marco de sus competencia.</w:t>
            </w:r>
          </w:p>
          <w:p w14:paraId="3B81FDCF" w14:textId="77777777" w:rsidR="00855A07" w:rsidRDefault="00855A07" w:rsidP="00855A07">
            <w:pPr>
              <w:pStyle w:val="Prrafodelista"/>
              <w:spacing w:before="240" w:after="120"/>
              <w:jc w:val="both"/>
              <w:rPr>
                <w:rFonts w:ascii="Arial" w:hAnsi="Arial"/>
                <w:sz w:val="20"/>
                <w:szCs w:val="20"/>
                <w:lang w:val="es-MX"/>
              </w:rPr>
            </w:pPr>
          </w:p>
          <w:p w14:paraId="04F2CD36" w14:textId="77777777" w:rsidR="00855A07" w:rsidRDefault="00855A07" w:rsidP="00855A07">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r w:rsidRPr="00DB6F85">
              <w:rPr>
                <w:rFonts w:ascii="Arial" w:hAnsi="Arial"/>
                <w:sz w:val="20"/>
                <w:szCs w:val="20"/>
              </w:rPr>
              <w:t>:</w:t>
            </w:r>
          </w:p>
          <w:p w14:paraId="71B75061" w14:textId="7B00A730" w:rsidR="00855A07" w:rsidRPr="00CF1ABD" w:rsidRDefault="00CF1ABD" w:rsidP="00CF1ABD">
            <w:pPr>
              <w:spacing w:before="240" w:after="120"/>
              <w:jc w:val="both"/>
              <w:rPr>
                <w:rFonts w:ascii="Arial" w:hAnsi="Arial"/>
                <w:sz w:val="20"/>
                <w:szCs w:val="20"/>
                <w:lang w:val="es-MX"/>
              </w:rPr>
            </w:pPr>
            <w:r w:rsidRPr="001B3721">
              <w:rPr>
                <w:rFonts w:ascii="Arial" w:hAnsi="Arial"/>
                <w:sz w:val="20"/>
                <w:szCs w:val="20"/>
              </w:rPr>
              <w:t>La medición de las brechas para la Programación Multianual de Inversiones se realizará cada año con las bases de datos más actualizadas</w:t>
            </w:r>
            <w:r w:rsidRPr="001B3721">
              <w:rPr>
                <w:rFonts w:ascii="Arial" w:hAnsi="Arial"/>
                <w:sz w:val="20"/>
                <w:szCs w:val="20"/>
                <w:lang w:val="es-MX"/>
              </w:rPr>
              <w:t>.</w:t>
            </w:r>
          </w:p>
          <w:p w14:paraId="28B61996" w14:textId="5A285899" w:rsidR="002C6B38" w:rsidRPr="001B0933" w:rsidRDefault="002C6B38" w:rsidP="00CF1ABD">
            <w:pPr>
              <w:rPr>
                <w:rFonts w:ascii="Arial" w:hAnsi="Arial"/>
                <w:iCs/>
                <w:sz w:val="20"/>
                <w:szCs w:val="20"/>
                <w:lang w:val="es-MX"/>
              </w:rPr>
            </w:pPr>
          </w:p>
        </w:tc>
      </w:tr>
      <w:tr w:rsidR="008C2ED7" w:rsidRPr="008C2ED7"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8C2ED7" w:rsidRDefault="002C6B38" w:rsidP="002C6B38">
            <w:pPr>
              <w:rPr>
                <w:rFonts w:ascii="Arial" w:hAnsi="Arial" w:cs="Arial"/>
                <w:sz w:val="18"/>
                <w:szCs w:val="20"/>
              </w:rPr>
            </w:pPr>
            <w:r w:rsidRPr="008C2ED7">
              <w:rPr>
                <w:rFonts w:ascii="Arial" w:hAnsi="Arial" w:cs="Arial"/>
                <w:b/>
                <w:bCs/>
                <w:szCs w:val="20"/>
              </w:rPr>
              <w:t>Instrumento de Recolección de Información</w:t>
            </w:r>
          </w:p>
        </w:tc>
      </w:tr>
      <w:tr w:rsidR="0010232D" w:rsidRPr="007B7B44"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42C3714" w14:textId="45ED24E9" w:rsidR="00855A07" w:rsidRDefault="00855A07" w:rsidP="00855A07">
            <w:pPr>
              <w:pStyle w:val="Prrafodelista"/>
              <w:numPr>
                <w:ilvl w:val="0"/>
                <w:numId w:val="7"/>
              </w:numPr>
              <w:spacing w:before="240" w:after="120"/>
              <w:jc w:val="both"/>
              <w:rPr>
                <w:rFonts w:ascii="Arial" w:hAnsi="Arial"/>
                <w:sz w:val="20"/>
                <w:szCs w:val="20"/>
              </w:rPr>
            </w:pPr>
            <w:r w:rsidRPr="00744593">
              <w:rPr>
                <w:rFonts w:ascii="Arial" w:hAnsi="Arial"/>
                <w:sz w:val="20"/>
                <w:szCs w:val="20"/>
              </w:rPr>
              <w:t>La Unidad de Programación e Inversiones del MINEDU, en el marco de sus funciones como Oficina de Programación Multianual de Inversiones del Sector Educación a través de</w:t>
            </w:r>
            <w:r w:rsidRPr="00144229">
              <w:rPr>
                <w:rFonts w:ascii="Arial" w:hAnsi="Arial"/>
                <w:sz w:val="20"/>
                <w:szCs w:val="20"/>
              </w:rPr>
              <w:t xml:space="preserve"> la implementación del Inventario de Unidades Productoras y Activos Estratégicos realiza la elaboración de instrumentos, manuales, protocolos para la identificación y determinación del estado situacional de las unidades productoras</w:t>
            </w:r>
            <w:r>
              <w:rPr>
                <w:rFonts w:ascii="Arial" w:hAnsi="Arial"/>
                <w:sz w:val="20"/>
                <w:szCs w:val="20"/>
              </w:rPr>
              <w:t>.</w:t>
            </w:r>
            <w:r w:rsidRPr="00744593">
              <w:rPr>
                <w:rFonts w:ascii="Arial" w:hAnsi="Arial"/>
                <w:sz w:val="20"/>
                <w:szCs w:val="20"/>
              </w:rPr>
              <w:t xml:space="preserve"> </w:t>
            </w:r>
            <w:r>
              <w:rPr>
                <w:rFonts w:ascii="Arial" w:hAnsi="Arial"/>
                <w:sz w:val="20"/>
                <w:szCs w:val="20"/>
              </w:rPr>
              <w:t>A</w:t>
            </w:r>
            <w:r w:rsidRPr="00744593">
              <w:rPr>
                <w:rFonts w:ascii="Arial" w:hAnsi="Arial"/>
                <w:sz w:val="20"/>
                <w:szCs w:val="20"/>
              </w:rPr>
              <w:t>s</w:t>
            </w:r>
            <w:r w:rsidR="00983D78">
              <w:rPr>
                <w:rFonts w:ascii="Arial" w:hAnsi="Arial"/>
                <w:sz w:val="20"/>
                <w:szCs w:val="20"/>
              </w:rPr>
              <w:t>i</w:t>
            </w:r>
            <w:r>
              <w:rPr>
                <w:rFonts w:ascii="Arial" w:hAnsi="Arial"/>
                <w:sz w:val="20"/>
                <w:szCs w:val="20"/>
              </w:rPr>
              <w:t>mismo, actualiza</w:t>
            </w:r>
            <w:r w:rsidRPr="00744593">
              <w:rPr>
                <w:rFonts w:ascii="Arial" w:hAnsi="Arial"/>
                <w:sz w:val="20"/>
                <w:szCs w:val="20"/>
              </w:rPr>
              <w:t xml:space="preserve"> </w:t>
            </w:r>
            <w:r w:rsidRPr="00144229">
              <w:rPr>
                <w:rFonts w:ascii="Arial" w:hAnsi="Arial"/>
                <w:sz w:val="20"/>
                <w:szCs w:val="20"/>
              </w:rPr>
              <w:t xml:space="preserve">de manera anual la lista de UP mediante su consolidación a través de la base de datos denominada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r w:rsidR="00983D78">
              <w:rPr>
                <w:rFonts w:ascii="Arial" w:hAnsi="Arial"/>
                <w:sz w:val="20"/>
                <w:szCs w:val="20"/>
              </w:rPr>
              <w:t>.</w:t>
            </w:r>
          </w:p>
          <w:p w14:paraId="3344E65F" w14:textId="4760D56C" w:rsidR="002C6B38" w:rsidRPr="007B7B44" w:rsidRDefault="002C6B38" w:rsidP="00CA283E">
            <w:pPr>
              <w:pStyle w:val="Prrafodelista"/>
              <w:jc w:val="both"/>
              <w:rPr>
                <w:rFonts w:ascii="Arial" w:hAnsi="Arial"/>
                <w:color w:val="FF0000"/>
                <w:sz w:val="20"/>
                <w:szCs w:val="20"/>
              </w:rPr>
            </w:pPr>
          </w:p>
        </w:tc>
      </w:tr>
      <w:bookmarkEnd w:id="0"/>
      <w:bookmarkEnd w:id="1"/>
    </w:tbl>
    <w:p w14:paraId="615CBBEE" w14:textId="1C7D0672" w:rsidR="00076082" w:rsidRPr="007B7B44" w:rsidRDefault="00076082" w:rsidP="009F6EE7">
      <w:pPr>
        <w:spacing w:after="120" w:line="240" w:lineRule="auto"/>
        <w:jc w:val="both"/>
        <w:rPr>
          <w:color w:val="FF0000"/>
          <w:sz w:val="18"/>
        </w:rPr>
      </w:pPr>
    </w:p>
    <w:sectPr w:rsidR="00076082" w:rsidRPr="007B7B44"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C823" w14:textId="77777777" w:rsidR="00F21C63" w:rsidRDefault="00F21C63" w:rsidP="00020DDF">
      <w:pPr>
        <w:spacing w:after="0" w:line="240" w:lineRule="auto"/>
      </w:pPr>
      <w:r>
        <w:separator/>
      </w:r>
    </w:p>
  </w:endnote>
  <w:endnote w:type="continuationSeparator" w:id="0">
    <w:p w14:paraId="29178558" w14:textId="77777777" w:rsidR="00F21C63" w:rsidRDefault="00F21C63"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60B2" w14:textId="77777777" w:rsidR="00F21C63" w:rsidRDefault="00F21C63" w:rsidP="00020DDF">
      <w:pPr>
        <w:spacing w:after="0" w:line="240" w:lineRule="auto"/>
      </w:pPr>
      <w:r>
        <w:separator/>
      </w:r>
    </w:p>
  </w:footnote>
  <w:footnote w:type="continuationSeparator" w:id="0">
    <w:p w14:paraId="44E48662" w14:textId="77777777" w:rsidR="00F21C63" w:rsidRDefault="00F21C63" w:rsidP="00020DDF">
      <w:pPr>
        <w:spacing w:after="0" w:line="240" w:lineRule="auto"/>
      </w:pPr>
      <w:r>
        <w:continuationSeparator/>
      </w:r>
    </w:p>
  </w:footnote>
  <w:footnote w:id="1">
    <w:p w14:paraId="1478316F" w14:textId="77777777" w:rsidR="00C32F60" w:rsidRPr="00252A19" w:rsidRDefault="00C32F60" w:rsidP="00C32F60">
      <w:pPr>
        <w:pStyle w:val="Textonotapie"/>
        <w:rPr>
          <w:rFonts w:ascii="Arial" w:hAnsi="Arial"/>
          <w:sz w:val="16"/>
          <w:szCs w:val="16"/>
        </w:rPr>
      </w:pPr>
      <w:r w:rsidRPr="00252A19">
        <w:rPr>
          <w:rFonts w:ascii="Arial" w:hAnsi="Arial"/>
          <w:sz w:val="16"/>
          <w:szCs w:val="16"/>
        </w:rPr>
        <w:footnoteRef/>
      </w:r>
      <w:r w:rsidRPr="00252A19">
        <w:rPr>
          <w:rFonts w:ascii="Arial" w:hAnsi="Arial"/>
          <w:sz w:val="16"/>
          <w:szCs w:val="16"/>
        </w:rPr>
        <w:t xml:space="preserve"> Art. 40 de la Ley N° 30220, Ley Universitaria.</w:t>
      </w:r>
    </w:p>
  </w:footnote>
  <w:footnote w:id="2">
    <w:p w14:paraId="620D3A8D" w14:textId="77777777" w:rsidR="00C32F60" w:rsidRPr="00C76EDF" w:rsidRDefault="00C32F60" w:rsidP="00C32F60">
      <w:pPr>
        <w:pStyle w:val="Textonotapie"/>
        <w:rPr>
          <w:lang w:val="es-PE"/>
        </w:rPr>
      </w:pPr>
      <w:r w:rsidRPr="00252A19">
        <w:rPr>
          <w:rFonts w:ascii="Arial" w:hAnsi="Arial"/>
          <w:sz w:val="16"/>
          <w:szCs w:val="16"/>
        </w:rPr>
        <w:footnoteRef/>
      </w:r>
      <w:r w:rsidRPr="00252A19">
        <w:rPr>
          <w:rFonts w:ascii="Arial" w:hAnsi="Arial"/>
          <w:sz w:val="16"/>
          <w:szCs w:val="16"/>
        </w:rPr>
        <w:t xml:space="preserve"> Art. 36 de la Ley N° 30220, Ley Universitaria.</w:t>
      </w:r>
    </w:p>
  </w:footnote>
  <w:footnote w:id="3">
    <w:p w14:paraId="25796B87" w14:textId="6BD28E8F" w:rsidR="005E0491" w:rsidRDefault="005E0491" w:rsidP="005E0491">
      <w:pPr>
        <w:pStyle w:val="Textonotapie"/>
      </w:pPr>
      <w:r>
        <w:rPr>
          <w:rStyle w:val="Refdenotaalpie"/>
        </w:rPr>
        <w:footnoteRef/>
      </w:r>
      <w:r>
        <w:t xml:space="preserve"> </w:t>
      </w:r>
      <w:r w:rsidRPr="005E0491">
        <w:rPr>
          <w:rFonts w:ascii="Arial" w:hAnsi="Arial"/>
          <w:sz w:val="16"/>
          <w:szCs w:val="16"/>
        </w:rPr>
        <w:t>Porcentaje de escuelas profesionales en las universidades públicas por implementar</w:t>
      </w:r>
    </w:p>
  </w:footnote>
  <w:footnote w:id="4">
    <w:p w14:paraId="3E1EED4A" w14:textId="77777777" w:rsidR="005E0491" w:rsidRDefault="005E0491" w:rsidP="005E0491">
      <w:pPr>
        <w:pStyle w:val="Textonotapie"/>
      </w:pPr>
      <w:r>
        <w:rPr>
          <w:rStyle w:val="Refdenotaalpie"/>
        </w:rPr>
        <w:footnoteRef/>
      </w:r>
      <w:r>
        <w:t xml:space="preserve"> </w:t>
      </w:r>
      <w:r w:rsidRPr="00983AAC">
        <w:rPr>
          <w:rFonts w:ascii="Arial" w:hAnsi="Arial"/>
          <w:sz w:val="16"/>
          <w:szCs w:val="16"/>
        </w:rPr>
        <w:t>Indicador de brecha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65E"/>
    <w:multiLevelType w:val="hybridMultilevel"/>
    <w:tmpl w:val="79A426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9D3A33"/>
    <w:multiLevelType w:val="hybridMultilevel"/>
    <w:tmpl w:val="CCD6CB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3D4FCD"/>
    <w:multiLevelType w:val="hybridMultilevel"/>
    <w:tmpl w:val="4B149932"/>
    <w:lvl w:ilvl="0" w:tplc="280A0001">
      <w:start w:val="1"/>
      <w:numFmt w:val="bullet"/>
      <w:lvlText w:val=""/>
      <w:lvlJc w:val="left"/>
      <w:pPr>
        <w:ind w:left="720" w:hanging="360"/>
      </w:pPr>
      <w:rPr>
        <w:rFonts w:ascii="Symbol" w:hAnsi="Symbol" w:hint="default"/>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2811DA"/>
    <w:multiLevelType w:val="hybridMultilevel"/>
    <w:tmpl w:val="FD80E3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BB632C"/>
    <w:multiLevelType w:val="hybridMultilevel"/>
    <w:tmpl w:val="C6067B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1756D8B"/>
    <w:multiLevelType w:val="hybridMultilevel"/>
    <w:tmpl w:val="99526D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52855F2"/>
    <w:multiLevelType w:val="hybridMultilevel"/>
    <w:tmpl w:val="78EEA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6DE724C"/>
    <w:multiLevelType w:val="hybridMultilevel"/>
    <w:tmpl w:val="46D0EF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1F647B5C"/>
    <w:multiLevelType w:val="hybridMultilevel"/>
    <w:tmpl w:val="879C13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4C1489"/>
    <w:multiLevelType w:val="hybridMultilevel"/>
    <w:tmpl w:val="3F7E4E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BAA61A2"/>
    <w:multiLevelType w:val="hybridMultilevel"/>
    <w:tmpl w:val="11707D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45D53E0"/>
    <w:multiLevelType w:val="hybridMultilevel"/>
    <w:tmpl w:val="DADCA1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9115A14"/>
    <w:multiLevelType w:val="hybridMultilevel"/>
    <w:tmpl w:val="F8823A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C5B69"/>
    <w:multiLevelType w:val="hybridMultilevel"/>
    <w:tmpl w:val="4568F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31CE1"/>
    <w:multiLevelType w:val="hybridMultilevel"/>
    <w:tmpl w:val="51E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65E266C9"/>
    <w:multiLevelType w:val="hybridMultilevel"/>
    <w:tmpl w:val="0A5488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A5350E4"/>
    <w:multiLevelType w:val="hybridMultilevel"/>
    <w:tmpl w:val="6A8C179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C490693"/>
    <w:multiLevelType w:val="hybridMultilevel"/>
    <w:tmpl w:val="47E2226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0193832"/>
    <w:multiLevelType w:val="hybridMultilevel"/>
    <w:tmpl w:val="46B4D0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0246631"/>
    <w:multiLevelType w:val="hybridMultilevel"/>
    <w:tmpl w:val="72F6AA68"/>
    <w:lvl w:ilvl="0" w:tplc="E38AB93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704D13C1"/>
    <w:multiLevelType w:val="hybridMultilevel"/>
    <w:tmpl w:val="F5D224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2335B77"/>
    <w:multiLevelType w:val="hybridMultilevel"/>
    <w:tmpl w:val="819A98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059DE"/>
    <w:multiLevelType w:val="hybridMultilevel"/>
    <w:tmpl w:val="DD98B54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1F26C9"/>
    <w:multiLevelType w:val="hybridMultilevel"/>
    <w:tmpl w:val="5E7AC1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A32307E"/>
    <w:multiLevelType w:val="hybridMultilevel"/>
    <w:tmpl w:val="FD5651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29"/>
  </w:num>
  <w:num w:numId="5">
    <w:abstractNumId w:val="20"/>
  </w:num>
  <w:num w:numId="6">
    <w:abstractNumId w:val="13"/>
  </w:num>
  <w:num w:numId="7">
    <w:abstractNumId w:val="19"/>
  </w:num>
  <w:num w:numId="8">
    <w:abstractNumId w:val="6"/>
  </w:num>
  <w:num w:numId="9">
    <w:abstractNumId w:val="30"/>
  </w:num>
  <w:num w:numId="10">
    <w:abstractNumId w:val="28"/>
  </w:num>
  <w:num w:numId="11">
    <w:abstractNumId w:val="0"/>
  </w:num>
  <w:num w:numId="12">
    <w:abstractNumId w:val="17"/>
  </w:num>
  <w:num w:numId="13">
    <w:abstractNumId w:val="31"/>
  </w:num>
  <w:num w:numId="14">
    <w:abstractNumId w:val="14"/>
  </w:num>
  <w:num w:numId="15">
    <w:abstractNumId w:val="27"/>
  </w:num>
  <w:num w:numId="16">
    <w:abstractNumId w:val="16"/>
  </w:num>
  <w:num w:numId="17">
    <w:abstractNumId w:val="7"/>
  </w:num>
  <w:num w:numId="18">
    <w:abstractNumId w:val="18"/>
  </w:num>
  <w:num w:numId="19">
    <w:abstractNumId w:val="4"/>
  </w:num>
  <w:num w:numId="20">
    <w:abstractNumId w:val="21"/>
  </w:num>
  <w:num w:numId="21">
    <w:abstractNumId w:val="1"/>
  </w:num>
  <w:num w:numId="22">
    <w:abstractNumId w:val="2"/>
  </w:num>
  <w:num w:numId="23">
    <w:abstractNumId w:val="26"/>
  </w:num>
  <w:num w:numId="24">
    <w:abstractNumId w:val="24"/>
  </w:num>
  <w:num w:numId="25">
    <w:abstractNumId w:val="9"/>
  </w:num>
  <w:num w:numId="26">
    <w:abstractNumId w:val="5"/>
  </w:num>
  <w:num w:numId="27">
    <w:abstractNumId w:val="11"/>
  </w:num>
  <w:num w:numId="28">
    <w:abstractNumId w:val="3"/>
  </w:num>
  <w:num w:numId="29">
    <w:abstractNumId w:val="25"/>
  </w:num>
  <w:num w:numId="30">
    <w:abstractNumId w:val="10"/>
  </w:num>
  <w:num w:numId="31">
    <w:abstractNumId w:val="2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0224"/>
    <w:rsid w:val="00044F26"/>
    <w:rsid w:val="00045EB3"/>
    <w:rsid w:val="000467A9"/>
    <w:rsid w:val="00054052"/>
    <w:rsid w:val="00071462"/>
    <w:rsid w:val="0007251E"/>
    <w:rsid w:val="000746C7"/>
    <w:rsid w:val="00076082"/>
    <w:rsid w:val="000A6132"/>
    <w:rsid w:val="000B133C"/>
    <w:rsid w:val="000C10E2"/>
    <w:rsid w:val="000E422B"/>
    <w:rsid w:val="000F0590"/>
    <w:rsid w:val="000F784E"/>
    <w:rsid w:val="0010232D"/>
    <w:rsid w:val="001056C9"/>
    <w:rsid w:val="001125DA"/>
    <w:rsid w:val="00112943"/>
    <w:rsid w:val="001234FB"/>
    <w:rsid w:val="00142865"/>
    <w:rsid w:val="0015653C"/>
    <w:rsid w:val="00162C09"/>
    <w:rsid w:val="00171EB6"/>
    <w:rsid w:val="001830DD"/>
    <w:rsid w:val="0019334B"/>
    <w:rsid w:val="001A1754"/>
    <w:rsid w:val="001A24B5"/>
    <w:rsid w:val="001B0933"/>
    <w:rsid w:val="001B0AB1"/>
    <w:rsid w:val="001D5D9B"/>
    <w:rsid w:val="001E666F"/>
    <w:rsid w:val="001E72A6"/>
    <w:rsid w:val="001F0AF0"/>
    <w:rsid w:val="001F59BD"/>
    <w:rsid w:val="00201772"/>
    <w:rsid w:val="00215A43"/>
    <w:rsid w:val="002175A0"/>
    <w:rsid w:val="0024075F"/>
    <w:rsid w:val="00246044"/>
    <w:rsid w:val="002512EA"/>
    <w:rsid w:val="0025524B"/>
    <w:rsid w:val="00263A17"/>
    <w:rsid w:val="0028003E"/>
    <w:rsid w:val="00297026"/>
    <w:rsid w:val="002A1F3E"/>
    <w:rsid w:val="002A717D"/>
    <w:rsid w:val="002B499B"/>
    <w:rsid w:val="002B691A"/>
    <w:rsid w:val="002C6B38"/>
    <w:rsid w:val="0030016D"/>
    <w:rsid w:val="003048DF"/>
    <w:rsid w:val="00325B1B"/>
    <w:rsid w:val="003261A2"/>
    <w:rsid w:val="0033104F"/>
    <w:rsid w:val="00357844"/>
    <w:rsid w:val="00373F00"/>
    <w:rsid w:val="0039583C"/>
    <w:rsid w:val="003A1F06"/>
    <w:rsid w:val="003C21ED"/>
    <w:rsid w:val="003C707C"/>
    <w:rsid w:val="003E043F"/>
    <w:rsid w:val="003E1B59"/>
    <w:rsid w:val="003E3E91"/>
    <w:rsid w:val="003E4580"/>
    <w:rsid w:val="0040679C"/>
    <w:rsid w:val="004120AD"/>
    <w:rsid w:val="00437E46"/>
    <w:rsid w:val="00442BBE"/>
    <w:rsid w:val="00456712"/>
    <w:rsid w:val="004567B3"/>
    <w:rsid w:val="00460F62"/>
    <w:rsid w:val="004835CB"/>
    <w:rsid w:val="004901FE"/>
    <w:rsid w:val="004A211F"/>
    <w:rsid w:val="004A5E1E"/>
    <w:rsid w:val="004B73EC"/>
    <w:rsid w:val="004C2460"/>
    <w:rsid w:val="004C372E"/>
    <w:rsid w:val="004C4331"/>
    <w:rsid w:val="004C634D"/>
    <w:rsid w:val="004E552A"/>
    <w:rsid w:val="00501759"/>
    <w:rsid w:val="00511FCA"/>
    <w:rsid w:val="0051372A"/>
    <w:rsid w:val="005252CF"/>
    <w:rsid w:val="00541662"/>
    <w:rsid w:val="00545D0C"/>
    <w:rsid w:val="00550F82"/>
    <w:rsid w:val="00570FD0"/>
    <w:rsid w:val="00573060"/>
    <w:rsid w:val="0059631A"/>
    <w:rsid w:val="005A0F2D"/>
    <w:rsid w:val="005C15A3"/>
    <w:rsid w:val="005D2C61"/>
    <w:rsid w:val="005D2E00"/>
    <w:rsid w:val="005E0491"/>
    <w:rsid w:val="005E2882"/>
    <w:rsid w:val="005F34C6"/>
    <w:rsid w:val="00616C93"/>
    <w:rsid w:val="00623D11"/>
    <w:rsid w:val="0063408E"/>
    <w:rsid w:val="00637FF0"/>
    <w:rsid w:val="00663991"/>
    <w:rsid w:val="00664EF2"/>
    <w:rsid w:val="00671E6E"/>
    <w:rsid w:val="006A5398"/>
    <w:rsid w:val="006B59F1"/>
    <w:rsid w:val="006C01B0"/>
    <w:rsid w:val="006C721A"/>
    <w:rsid w:val="006D12A9"/>
    <w:rsid w:val="006E4A39"/>
    <w:rsid w:val="006E4FBA"/>
    <w:rsid w:val="006F0408"/>
    <w:rsid w:val="006F19F8"/>
    <w:rsid w:val="006F4C59"/>
    <w:rsid w:val="006F7D61"/>
    <w:rsid w:val="00707060"/>
    <w:rsid w:val="00707DA1"/>
    <w:rsid w:val="00714A93"/>
    <w:rsid w:val="007236D7"/>
    <w:rsid w:val="00746EB6"/>
    <w:rsid w:val="0074755B"/>
    <w:rsid w:val="0078420E"/>
    <w:rsid w:val="00785D71"/>
    <w:rsid w:val="00791B39"/>
    <w:rsid w:val="007A1BD6"/>
    <w:rsid w:val="007A60BF"/>
    <w:rsid w:val="007B74F4"/>
    <w:rsid w:val="007B7B44"/>
    <w:rsid w:val="007C4F1D"/>
    <w:rsid w:val="007D00DC"/>
    <w:rsid w:val="007D316F"/>
    <w:rsid w:val="007E6DD5"/>
    <w:rsid w:val="00806383"/>
    <w:rsid w:val="00812F1C"/>
    <w:rsid w:val="00814517"/>
    <w:rsid w:val="00823D29"/>
    <w:rsid w:val="0083302A"/>
    <w:rsid w:val="00835565"/>
    <w:rsid w:val="00836ED4"/>
    <w:rsid w:val="0085415B"/>
    <w:rsid w:val="00855A07"/>
    <w:rsid w:val="00877A63"/>
    <w:rsid w:val="00884989"/>
    <w:rsid w:val="008853C5"/>
    <w:rsid w:val="008A0BDF"/>
    <w:rsid w:val="008B57D9"/>
    <w:rsid w:val="008B6D51"/>
    <w:rsid w:val="008C08F0"/>
    <w:rsid w:val="008C2AC8"/>
    <w:rsid w:val="008C2ED7"/>
    <w:rsid w:val="008C3143"/>
    <w:rsid w:val="008E10DB"/>
    <w:rsid w:val="008E30DB"/>
    <w:rsid w:val="008E369D"/>
    <w:rsid w:val="008E38B9"/>
    <w:rsid w:val="008E3FD2"/>
    <w:rsid w:val="008E6B4E"/>
    <w:rsid w:val="008F534B"/>
    <w:rsid w:val="009002FB"/>
    <w:rsid w:val="00901F7B"/>
    <w:rsid w:val="00906072"/>
    <w:rsid w:val="00912314"/>
    <w:rsid w:val="00912660"/>
    <w:rsid w:val="00932B28"/>
    <w:rsid w:val="009437D5"/>
    <w:rsid w:val="00945050"/>
    <w:rsid w:val="009462F3"/>
    <w:rsid w:val="0094740A"/>
    <w:rsid w:val="00962B47"/>
    <w:rsid w:val="00963EC0"/>
    <w:rsid w:val="009736FF"/>
    <w:rsid w:val="00981B1C"/>
    <w:rsid w:val="00983D78"/>
    <w:rsid w:val="00992417"/>
    <w:rsid w:val="0099713F"/>
    <w:rsid w:val="0099799F"/>
    <w:rsid w:val="009A49A3"/>
    <w:rsid w:val="009B732B"/>
    <w:rsid w:val="009C4B84"/>
    <w:rsid w:val="009F6EE7"/>
    <w:rsid w:val="00A008C5"/>
    <w:rsid w:val="00A1504C"/>
    <w:rsid w:val="00A35BC2"/>
    <w:rsid w:val="00A42A6D"/>
    <w:rsid w:val="00A43EFD"/>
    <w:rsid w:val="00A60B21"/>
    <w:rsid w:val="00A65299"/>
    <w:rsid w:val="00A70941"/>
    <w:rsid w:val="00A71A0A"/>
    <w:rsid w:val="00A84031"/>
    <w:rsid w:val="00A85514"/>
    <w:rsid w:val="00A95F38"/>
    <w:rsid w:val="00AB0037"/>
    <w:rsid w:val="00AB3CA7"/>
    <w:rsid w:val="00AC6B83"/>
    <w:rsid w:val="00AD49F8"/>
    <w:rsid w:val="00AE0290"/>
    <w:rsid w:val="00AF5CAD"/>
    <w:rsid w:val="00B033E1"/>
    <w:rsid w:val="00B06816"/>
    <w:rsid w:val="00B15291"/>
    <w:rsid w:val="00B1731C"/>
    <w:rsid w:val="00B204D1"/>
    <w:rsid w:val="00B2741B"/>
    <w:rsid w:val="00B35321"/>
    <w:rsid w:val="00B41C15"/>
    <w:rsid w:val="00B42D60"/>
    <w:rsid w:val="00B4744E"/>
    <w:rsid w:val="00B50C99"/>
    <w:rsid w:val="00B71812"/>
    <w:rsid w:val="00B730CF"/>
    <w:rsid w:val="00B859CA"/>
    <w:rsid w:val="00B85E9D"/>
    <w:rsid w:val="00B93BCF"/>
    <w:rsid w:val="00BF1A66"/>
    <w:rsid w:val="00C10759"/>
    <w:rsid w:val="00C1227D"/>
    <w:rsid w:val="00C1645D"/>
    <w:rsid w:val="00C32F60"/>
    <w:rsid w:val="00C35814"/>
    <w:rsid w:val="00C46306"/>
    <w:rsid w:val="00C56226"/>
    <w:rsid w:val="00C62666"/>
    <w:rsid w:val="00C6406B"/>
    <w:rsid w:val="00C73B6D"/>
    <w:rsid w:val="00C96F95"/>
    <w:rsid w:val="00CA283E"/>
    <w:rsid w:val="00CA54DC"/>
    <w:rsid w:val="00CA7D46"/>
    <w:rsid w:val="00CE2DB2"/>
    <w:rsid w:val="00CF1ABD"/>
    <w:rsid w:val="00D01D59"/>
    <w:rsid w:val="00D10FE9"/>
    <w:rsid w:val="00D11639"/>
    <w:rsid w:val="00D1211E"/>
    <w:rsid w:val="00D16AA9"/>
    <w:rsid w:val="00D1720A"/>
    <w:rsid w:val="00D25D74"/>
    <w:rsid w:val="00D377DD"/>
    <w:rsid w:val="00D46CD2"/>
    <w:rsid w:val="00D51B4D"/>
    <w:rsid w:val="00D52A2B"/>
    <w:rsid w:val="00D57631"/>
    <w:rsid w:val="00D92AF5"/>
    <w:rsid w:val="00D93115"/>
    <w:rsid w:val="00DB3A5B"/>
    <w:rsid w:val="00DB48A6"/>
    <w:rsid w:val="00DB4C71"/>
    <w:rsid w:val="00DC436B"/>
    <w:rsid w:val="00DC6CB7"/>
    <w:rsid w:val="00DD219B"/>
    <w:rsid w:val="00DD74FD"/>
    <w:rsid w:val="00DE2D8A"/>
    <w:rsid w:val="00DE5BE5"/>
    <w:rsid w:val="00DF1A12"/>
    <w:rsid w:val="00E01366"/>
    <w:rsid w:val="00E0697C"/>
    <w:rsid w:val="00E11D2F"/>
    <w:rsid w:val="00E1334F"/>
    <w:rsid w:val="00E33E86"/>
    <w:rsid w:val="00E3668C"/>
    <w:rsid w:val="00E5234F"/>
    <w:rsid w:val="00E57BA7"/>
    <w:rsid w:val="00E6293B"/>
    <w:rsid w:val="00E63371"/>
    <w:rsid w:val="00E71CFC"/>
    <w:rsid w:val="00E848B3"/>
    <w:rsid w:val="00E96490"/>
    <w:rsid w:val="00EB2441"/>
    <w:rsid w:val="00EE772D"/>
    <w:rsid w:val="00EF7C8F"/>
    <w:rsid w:val="00F21C63"/>
    <w:rsid w:val="00F24EB0"/>
    <w:rsid w:val="00F30AED"/>
    <w:rsid w:val="00F32995"/>
    <w:rsid w:val="00F525F3"/>
    <w:rsid w:val="00F6484A"/>
    <w:rsid w:val="00F64BB7"/>
    <w:rsid w:val="00F7697C"/>
    <w:rsid w:val="00F82D3D"/>
    <w:rsid w:val="00F91C12"/>
    <w:rsid w:val="00FA37E3"/>
    <w:rsid w:val="00FC13DB"/>
    <w:rsid w:val="00FC15DA"/>
    <w:rsid w:val="00FC7D43"/>
    <w:rsid w:val="00FD23E6"/>
    <w:rsid w:val="00FD50DB"/>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SubPárrafo de lista,TITULO A,Titulo de Fígura,Conclusiones,paul2,Cuadro 2-1,Iz - Párrafo de lista,Sivsa Parrafo"/>
    <w:basedOn w:val="Normal"/>
    <w:link w:val="PrrafodelistaCar"/>
    <w:uiPriority w:val="34"/>
    <w:qFormat/>
    <w:rsid w:val="003E3E91"/>
    <w:pPr>
      <w:ind w:left="720"/>
      <w:contextualSpacing/>
    </w:pPr>
  </w:style>
  <w:style w:type="paragraph" w:styleId="Textonotapie">
    <w:name w:val="footnote text"/>
    <w:basedOn w:val="Normal"/>
    <w:link w:val="TextonotapieCar"/>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aliases w:val="Bulleted List Car,Fundamentacion Car,SubPárrafo de lista Car,TITULO A Car,Titulo de Fígura Car,Conclusiones Car,paul2 Car,Cuadro 2-1 Car,Iz - Párrafo de lista Car,Sivsa Parrafo Car"/>
    <w:link w:val="Prrafodelista"/>
    <w:uiPriority w:val="34"/>
    <w:locked/>
    <w:rsid w:val="009437D5"/>
  </w:style>
  <w:style w:type="paragraph" w:styleId="NormalWeb">
    <w:name w:val="Normal (Web)"/>
    <w:basedOn w:val="Normal"/>
    <w:uiPriority w:val="99"/>
    <w:unhideWhenUsed/>
    <w:rsid w:val="00B1731C"/>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4C246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inespaciado">
    <w:name w:val="No Spacing"/>
    <w:uiPriority w:val="1"/>
    <w:qFormat/>
    <w:rsid w:val="008C2ED7"/>
    <w:pPr>
      <w:spacing w:after="0" w:line="240" w:lineRule="auto"/>
    </w:pPr>
    <w:rPr>
      <w:rFonts w:ascii="Times New Roman" w:eastAsiaTheme="minorEastAsia" w:hAnsi="Times New Roman" w:cs="Times New Roman"/>
      <w:sz w:val="24"/>
      <w:szCs w:val="24"/>
      <w:lang w:val="en-US"/>
    </w:rPr>
  </w:style>
  <w:style w:type="paragraph" w:styleId="Revisin">
    <w:name w:val="Revision"/>
    <w:hidden/>
    <w:uiPriority w:val="99"/>
    <w:semiHidden/>
    <w:rsid w:val="00DB3A5B"/>
    <w:pPr>
      <w:spacing w:after="0" w:line="240" w:lineRule="auto"/>
    </w:pPr>
  </w:style>
  <w:style w:type="character" w:styleId="Refdecomentario">
    <w:name w:val="annotation reference"/>
    <w:basedOn w:val="Fuentedeprrafopredeter"/>
    <w:uiPriority w:val="99"/>
    <w:semiHidden/>
    <w:unhideWhenUsed/>
    <w:rsid w:val="007A60BF"/>
    <w:rPr>
      <w:sz w:val="16"/>
      <w:szCs w:val="16"/>
    </w:rPr>
  </w:style>
  <w:style w:type="paragraph" w:styleId="Textocomentario">
    <w:name w:val="annotation text"/>
    <w:basedOn w:val="Normal"/>
    <w:link w:val="TextocomentarioCar"/>
    <w:uiPriority w:val="99"/>
    <w:unhideWhenUsed/>
    <w:rsid w:val="007A60BF"/>
    <w:pPr>
      <w:spacing w:line="240" w:lineRule="auto"/>
    </w:pPr>
    <w:rPr>
      <w:sz w:val="20"/>
      <w:szCs w:val="20"/>
    </w:rPr>
  </w:style>
  <w:style w:type="character" w:customStyle="1" w:styleId="TextocomentarioCar">
    <w:name w:val="Texto comentario Car"/>
    <w:basedOn w:val="Fuentedeprrafopredeter"/>
    <w:link w:val="Textocomentario"/>
    <w:uiPriority w:val="99"/>
    <w:rsid w:val="007A60BF"/>
    <w:rPr>
      <w:sz w:val="20"/>
      <w:szCs w:val="20"/>
    </w:rPr>
  </w:style>
  <w:style w:type="paragraph" w:styleId="Asuntodelcomentario">
    <w:name w:val="annotation subject"/>
    <w:basedOn w:val="Textocomentario"/>
    <w:next w:val="Textocomentario"/>
    <w:link w:val="AsuntodelcomentarioCar"/>
    <w:uiPriority w:val="99"/>
    <w:semiHidden/>
    <w:unhideWhenUsed/>
    <w:rsid w:val="007A60BF"/>
    <w:rPr>
      <w:b/>
      <w:bCs/>
    </w:rPr>
  </w:style>
  <w:style w:type="character" w:customStyle="1" w:styleId="AsuntodelcomentarioCar">
    <w:name w:val="Asunto del comentario Car"/>
    <w:basedOn w:val="TextocomentarioCar"/>
    <w:link w:val="Asuntodelcomentario"/>
    <w:uiPriority w:val="99"/>
    <w:semiHidden/>
    <w:rsid w:val="007A60BF"/>
    <w:rPr>
      <w:b/>
      <w:bCs/>
      <w:sz w:val="20"/>
      <w:szCs w:val="20"/>
    </w:rPr>
  </w:style>
  <w:style w:type="paragraph" w:customStyle="1" w:styleId="Default">
    <w:name w:val="Default"/>
    <w:rsid w:val="006F4C59"/>
    <w:pPr>
      <w:autoSpaceDE w:val="0"/>
      <w:autoSpaceDN w:val="0"/>
      <w:adjustRightInd w:val="0"/>
      <w:spacing w:after="0" w:line="240"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3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037A-C59B-408D-9A09-D7F99F55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1208</Words>
  <Characters>6647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43</cp:revision>
  <cp:lastPrinted>2023-06-24T21:26:00Z</cp:lastPrinted>
  <dcterms:created xsi:type="dcterms:W3CDTF">2025-06-06T21:01:00Z</dcterms:created>
  <dcterms:modified xsi:type="dcterms:W3CDTF">2025-08-05T15:38:00Z</dcterms:modified>
</cp:coreProperties>
</file>